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Pará</w:t>
      </w:r>
    </w:p>
    <w:p>
      <w:r>
        <w:t>Gerado em: 27/04/2026 12:43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Pará possui 216.099 CAFs Pessoa Física ativos, equivalentes a 5,54% do total nacional. No PRONAF, o volume financeiro consolidado para a UF é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Avaliação da posição no ranking: PA está na 7ª posição entre 27 UFs, com participação de 5,54%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Avaliação da posição no ranking: PA está na 7ª posição entre 27 UFs, com participação de 4,49%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Avaliação da posição no ranking: PA está na 9ª posição entre 27 UFs, com participação de 1,73%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Avaliação da posição no ranking: PA está na 1ª posição entre 27 UFs, com participação de 24,24%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PA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PA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Avaliação da posição no ranking: PA está na 2ª posição entre 27 UFs, com participação de 23,54%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