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Piauí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Piauí possui 281.486 CAFs Pessoa Física ativos, equivalentes a 7,22% do total nacional. No PRONAF, o volume financeiro consolidado para a UF é R$ 322.059.940,03, equivalente a 2,20%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281.486</w:t>
            </w:r>
          </w:p>
        </w:tc>
        <w:tc>
          <w:tcPr>
            <w:tcW w:type="dxa" w:w="2160"/>
          </w:tcPr>
          <w:p>
            <w:r>
              <w:t>7,22%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5,61%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254.297</w:t>
            </w:r>
          </w:p>
        </w:tc>
        <w:tc>
          <w:tcPr>
            <w:tcW w:type="dxa" w:w="2160"/>
          </w:tcPr>
          <w:p>
            <w:r>
              <w:t>7,20%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229.500</w:t>
            </w:r>
          </w:p>
        </w:tc>
        <w:tc>
          <w:tcPr>
            <w:tcW w:type="dxa" w:w="2160"/>
          </w:tcPr>
          <w:p>
            <w:r>
              <w:t>6,52%</w:t>
            </w:r>
          </w:p>
        </w:tc>
      </w:tr>
    </w:tbl>
    <w:p>
      <w:r>
        <w:t>Avaliação da posição no ranking: PI está na 5ª posição entre 27 UFs, com participação de 7,22%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39.268</w:t>
            </w:r>
          </w:p>
        </w:tc>
        <w:tc>
          <w:tcPr>
            <w:tcW w:type="dxa" w:w="2160"/>
          </w:tcPr>
          <w:p>
            <w:r>
              <w:t>8,15%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R$ 322.059.940,03</w:t>
            </w:r>
          </w:p>
        </w:tc>
        <w:tc>
          <w:tcPr>
            <w:tcW w:type="dxa" w:w="2160"/>
          </w:tcPr>
          <w:p>
            <w:r>
              <w:t>2,20%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39.268</w:t>
            </w:r>
          </w:p>
        </w:tc>
        <w:tc>
          <w:tcPr>
            <w:tcW w:type="dxa" w:w="2160"/>
          </w:tcPr>
          <w:p>
            <w:r>
              <w:t>8,15%</w:t>
            </w:r>
          </w:p>
        </w:tc>
      </w:tr>
    </w:tbl>
    <w:p>
      <w:r>
        <w:t>Avaliação da posição no ranking: PI está na 13ª posição entre 27 UFs, com participação de 2,20%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7.015</w:t>
            </w:r>
          </w:p>
        </w:tc>
        <w:tc>
          <w:tcPr>
            <w:tcW w:type="dxa" w:w="2160"/>
          </w:tcPr>
          <w:p>
            <w:r>
              <w:t>7,36%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R$ 34.105.896,93</w:t>
            </w:r>
          </w:p>
        </w:tc>
        <w:tc>
          <w:tcPr>
            <w:tcW w:type="dxa" w:w="2160"/>
          </w:tcPr>
          <w:p>
            <w:r>
              <w:t>0,97%</w:t>
            </w:r>
          </w:p>
        </w:tc>
      </w:tr>
    </w:tbl>
    <w:p>
      <w:r>
        <w:t>Avaliação da posição no ranking: PI está na 12ª posição entre 27 UFs, com participação de 0,97%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6,03%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3,09%</w:t>
            </w:r>
          </w:p>
        </w:tc>
      </w:tr>
    </w:tbl>
    <w:p>
      <w:r>
        <w:t>Avaliação da posição no ranking: PI está na 12ª posição entre 27 UFs, com participação de 3,09%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73.655</w:t>
            </w:r>
          </w:p>
        </w:tc>
        <w:tc>
          <w:tcPr>
            <w:tcW w:type="dxa" w:w="2160"/>
          </w:tcPr>
          <w:p>
            <w:r>
              <w:t>8,18%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70.255</w:t>
            </w:r>
          </w:p>
        </w:tc>
        <w:tc>
          <w:tcPr>
            <w:tcW w:type="dxa" w:w="2160"/>
          </w:tcPr>
          <w:p>
            <w:r>
              <w:t>8,43%</w:t>
            </w:r>
          </w:p>
        </w:tc>
      </w:tr>
    </w:tbl>
    <w:p>
      <w:r>
        <w:t>Avaliação da posição no ranking: PI está na 4ª posição entre 27 UFs, com participação de 8,43%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0,48%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R$ 555.487,94</w:t>
            </w:r>
          </w:p>
        </w:tc>
        <w:tc>
          <w:tcPr>
            <w:tcW w:type="dxa" w:w="2160"/>
          </w:tcPr>
          <w:p>
            <w:r>
              <w:t>0,53%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R$ 277.743,97</w:t>
            </w:r>
          </w:p>
        </w:tc>
        <w:tc>
          <w:tcPr>
            <w:tcW w:type="dxa" w:w="2160"/>
          </w:tcPr>
          <w:p>
            <w:r>
              <w:t>111,34%</w:t>
            </w:r>
          </w:p>
        </w:tc>
      </w:tr>
    </w:tbl>
    <w:p>
      <w:r>
        <w:t>Avaliação da posição no ranking: PI está na 15ª posição entre 27 UFs, com participação de 0,53%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2,53%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1,32%</w:t>
            </w:r>
          </w:p>
        </w:tc>
      </w:tr>
    </w:tbl>
    <w:p>
      <w:r>
        <w:t>Avaliação da posição no ranking: PI está na 15ª posição entre 27 UFs, com participação de 1,32%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