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Paraná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Paraná possui 110.405 CAFs Pessoa Física ativos, equivalentes a 2,83% do total nacional. No PRONAF, o volume financeiro consolidado para a UF é R$ 1.684.841.253,74, equivalente a 11,48%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Paraná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110.405</w:t>
            </w:r>
          </w:p>
        </w:tc>
        <w:tc>
          <w:tcPr>
            <w:tcW w:type="dxa" w:w="2160"/>
          </w:tcPr>
          <w:p>
            <w:r>
              <w:t>2,83%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464</w:t>
            </w:r>
          </w:p>
        </w:tc>
        <w:tc>
          <w:tcPr>
            <w:tcW w:type="dxa" w:w="2160"/>
          </w:tcPr>
          <w:p>
            <w:r>
              <w:t>5,06%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99.060</w:t>
            </w:r>
          </w:p>
        </w:tc>
        <w:tc>
          <w:tcPr>
            <w:tcW w:type="dxa" w:w="2160"/>
          </w:tcPr>
          <w:p>
            <w:r>
              <w:t>2,81%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115.725</w:t>
            </w:r>
          </w:p>
        </w:tc>
        <w:tc>
          <w:tcPr>
            <w:tcW w:type="dxa" w:w="2160"/>
          </w:tcPr>
          <w:p>
            <w:r>
              <w:t>3,29%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Paraná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19.655</w:t>
            </w:r>
          </w:p>
        </w:tc>
        <w:tc>
          <w:tcPr>
            <w:tcW w:type="dxa" w:w="2160"/>
          </w:tcPr>
          <w:p>
            <w:r>
              <w:t>4,08%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R$ 1.684.841.253,74</w:t>
            </w:r>
          </w:p>
        </w:tc>
        <w:tc>
          <w:tcPr>
            <w:tcW w:type="dxa" w:w="2160"/>
          </w:tcPr>
          <w:p>
            <w:r>
              <w:t>11,48%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19.655</w:t>
            </w:r>
          </w:p>
        </w:tc>
        <w:tc>
          <w:tcPr>
            <w:tcW w:type="dxa" w:w="2160"/>
          </w:tcPr>
          <w:p>
            <w:r>
              <w:t>4,08%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Paraná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4.976</w:t>
            </w:r>
          </w:p>
        </w:tc>
        <w:tc>
          <w:tcPr>
            <w:tcW w:type="dxa" w:w="2160"/>
          </w:tcPr>
          <w:p>
            <w:r>
              <w:t>5,22%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R$ 539.370.443,71</w:t>
            </w:r>
          </w:p>
        </w:tc>
        <w:tc>
          <w:tcPr>
            <w:tcW w:type="dxa" w:w="2160"/>
          </w:tcPr>
          <w:p>
            <w:r>
              <w:t>15,27%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Paraná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7,29%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495</w:t>
            </w:r>
          </w:p>
        </w:tc>
        <w:tc>
          <w:tcPr>
            <w:tcW w:type="dxa" w:w="2160"/>
          </w:tcPr>
          <w:p>
            <w:r>
              <w:t>2,94%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Paraná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Paraná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2,40%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R$ 2.852.820,00</w:t>
            </w:r>
          </w:p>
        </w:tc>
        <w:tc>
          <w:tcPr>
            <w:tcW w:type="dxa" w:w="2160"/>
          </w:tcPr>
          <w:p>
            <w:r>
              <w:t>2,74%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R$ 285.282,00</w:t>
            </w:r>
          </w:p>
        </w:tc>
        <w:tc>
          <w:tcPr>
            <w:tcW w:type="dxa" w:w="2160"/>
          </w:tcPr>
          <w:p>
            <w:r>
              <w:t>114,36%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Paraná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2,07%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1,07%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