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Rondônia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Rondônia possui 58.847 CAFs Pessoa Física ativos, equivalentes a 1,51% do total nacional. No PRONAF, o volume financeiro consolidado para a UF é R$ 518.539.180,94, equivalente a 3,53%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Rondônia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58.847</w:t>
            </w:r>
          </w:p>
        </w:tc>
        <w:tc>
          <w:tcPr>
            <w:tcW w:type="dxa" w:w="2160"/>
          </w:tcPr>
          <w:p>
            <w:r>
              <w:t>1,51%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0,63%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48.726</w:t>
            </w:r>
          </w:p>
        </w:tc>
        <w:tc>
          <w:tcPr>
            <w:tcW w:type="dxa" w:w="2160"/>
          </w:tcPr>
          <w:p>
            <w:r>
              <w:t>1,38%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57.505</w:t>
            </w:r>
          </w:p>
        </w:tc>
        <w:tc>
          <w:tcPr>
            <w:tcW w:type="dxa" w:w="2160"/>
          </w:tcPr>
          <w:p>
            <w:r>
              <w:t>1,63%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Rondônia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6.174</w:t>
            </w:r>
          </w:p>
        </w:tc>
        <w:tc>
          <w:tcPr>
            <w:tcW w:type="dxa" w:w="2160"/>
          </w:tcPr>
          <w:p>
            <w:r>
              <w:t>1,28%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R$ 518.539.180,94</w:t>
            </w:r>
          </w:p>
        </w:tc>
        <w:tc>
          <w:tcPr>
            <w:tcW w:type="dxa" w:w="2160"/>
          </w:tcPr>
          <w:p>
            <w:r>
              <w:t>3,53%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6.174</w:t>
            </w:r>
          </w:p>
        </w:tc>
        <w:tc>
          <w:tcPr>
            <w:tcW w:type="dxa" w:w="2160"/>
          </w:tcPr>
          <w:p>
            <w:r>
              <w:t>1,28%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Rondônia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640</w:t>
            </w:r>
          </w:p>
        </w:tc>
        <w:tc>
          <w:tcPr>
            <w:tcW w:type="dxa" w:w="2160"/>
          </w:tcPr>
          <w:p>
            <w:r>
              <w:t>0,67%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R$ 32.903.778,04</w:t>
            </w:r>
          </w:p>
        </w:tc>
        <w:tc>
          <w:tcPr>
            <w:tcW w:type="dxa" w:w="2160"/>
          </w:tcPr>
          <w:p>
            <w:r>
              <w:t>0,93%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Rondônia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1,11%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Rondônia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Rondônia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0,96%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R$ 1.107.302,80</w:t>
            </w:r>
          </w:p>
        </w:tc>
        <w:tc>
          <w:tcPr>
            <w:tcW w:type="dxa" w:w="2160"/>
          </w:tcPr>
          <w:p>
            <w:r>
              <w:t>1,06%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R$ 276.825,70</w:t>
            </w:r>
          </w:p>
        </w:tc>
        <w:tc>
          <w:tcPr>
            <w:tcW w:type="dxa" w:w="2160"/>
          </w:tcPr>
          <w:p>
            <w:r>
              <w:t>110,97%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Rondônia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2,66%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1,38%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