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Rio Grande do Sul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Rio Grande do Sul possui 198.445 CAFs Pessoa Física ativos, equivalentes a 5,09% do total nacional. No PRONAF, o volume financeiro consolidado para a UF é R$ 2.311.754.077,88, equivalente a 15,76%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198.445</w:t>
            </w:r>
          </w:p>
        </w:tc>
        <w:tc>
          <w:tcPr>
            <w:tcW w:type="dxa" w:w="2160"/>
          </w:tcPr>
          <w:p>
            <w:r>
              <w:t>5,09%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8,18%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164.565</w:t>
            </w:r>
          </w:p>
        </w:tc>
        <w:tc>
          <w:tcPr>
            <w:tcW w:type="dxa" w:w="2160"/>
          </w:tcPr>
          <w:p>
            <w:r>
              <w:t>4,66%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196.773</w:t>
            </w:r>
          </w:p>
        </w:tc>
        <w:tc>
          <w:tcPr>
            <w:tcW w:type="dxa" w:w="2160"/>
          </w:tcPr>
          <w:p>
            <w:r>
              <w:t>5,59%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31.384</w:t>
            </w:r>
          </w:p>
        </w:tc>
        <w:tc>
          <w:tcPr>
            <w:tcW w:type="dxa" w:w="2160"/>
          </w:tcPr>
          <w:p>
            <w:r>
              <w:t>6,51%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R$ 2.311.754.077,88</w:t>
            </w:r>
          </w:p>
        </w:tc>
        <w:tc>
          <w:tcPr>
            <w:tcW w:type="dxa" w:w="2160"/>
          </w:tcPr>
          <w:p>
            <w:r>
              <w:t>15,76%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31.384</w:t>
            </w:r>
          </w:p>
        </w:tc>
        <w:tc>
          <w:tcPr>
            <w:tcW w:type="dxa" w:w="2160"/>
          </w:tcPr>
          <w:p>
            <w:r>
              <w:t>6,51%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8.893</w:t>
            </w:r>
          </w:p>
        </w:tc>
        <w:tc>
          <w:tcPr>
            <w:tcW w:type="dxa" w:w="2160"/>
          </w:tcPr>
          <w:p>
            <w:r>
              <w:t>9,33%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R$ 934.349.947,53</w:t>
            </w:r>
          </w:p>
        </w:tc>
        <w:tc>
          <w:tcPr>
            <w:tcW w:type="dxa" w:w="2160"/>
          </w:tcPr>
          <w:p>
            <w:r>
              <w:t>26,44%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4,48%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1.276</w:t>
            </w:r>
          </w:p>
        </w:tc>
        <w:tc>
          <w:tcPr>
            <w:tcW w:type="dxa" w:w="2160"/>
          </w:tcPr>
          <w:p>
            <w:r>
              <w:t>7,57%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11,99%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R$ 12.723.403,09</w:t>
            </w:r>
          </w:p>
        </w:tc>
        <w:tc>
          <w:tcPr>
            <w:tcW w:type="dxa" w:w="2160"/>
          </w:tcPr>
          <w:p>
            <w:r>
              <w:t>12,23%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R$ 254.468,06</w:t>
            </w:r>
          </w:p>
        </w:tc>
        <w:tc>
          <w:tcPr>
            <w:tcW w:type="dxa" w:w="2160"/>
          </w:tcPr>
          <w:p>
            <w:r>
              <w:t>102,01%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0,65%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1,08%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0,70%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