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Rio Grande do Sul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Rio Grande do Sul possui 198.445 CAFs Pessoa Física ativos, equivalentes a 5,09% do total nacional. No PRONAF, o volume financeiro consolidado para a UF é R$ 2.311.754.077,88, equivalente a 15,76%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198.445</w:t>
            </w:r>
          </w:p>
        </w:tc>
        <w:tc>
          <w:tcPr>
            <w:tcW w:type="dxa" w:w="2160"/>
          </w:tcPr>
          <w:p>
            <w:r>
              <w:t>5,09%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8,18%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164.565</w:t>
            </w:r>
          </w:p>
        </w:tc>
        <w:tc>
          <w:tcPr>
            <w:tcW w:type="dxa" w:w="2160"/>
          </w:tcPr>
          <w:p>
            <w:r>
              <w:t>4,66%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196.773</w:t>
            </w:r>
          </w:p>
        </w:tc>
        <w:tc>
          <w:tcPr>
            <w:tcW w:type="dxa" w:w="2160"/>
          </w:tcPr>
          <w:p>
            <w:r>
              <w:t>5,59%</w:t>
            </w:r>
          </w:p>
        </w:tc>
      </w:tr>
    </w:tbl>
    <w:p>
      <w:r>
        <w:t>Avaliação da posição no ranking: RS está na 8ª posição entre 27 UFs, com participação de 5,09%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31.384</w:t>
            </w:r>
          </w:p>
        </w:tc>
        <w:tc>
          <w:tcPr>
            <w:tcW w:type="dxa" w:w="2160"/>
          </w:tcPr>
          <w:p>
            <w:r>
              <w:t>6,51%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R$ 2.311.754.077,88</w:t>
            </w:r>
          </w:p>
        </w:tc>
        <w:tc>
          <w:tcPr>
            <w:tcW w:type="dxa" w:w="2160"/>
          </w:tcPr>
          <w:p>
            <w:r>
              <w:t>15,76%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31.384</w:t>
            </w:r>
          </w:p>
        </w:tc>
        <w:tc>
          <w:tcPr>
            <w:tcW w:type="dxa" w:w="2160"/>
          </w:tcPr>
          <w:p>
            <w:r>
              <w:t>6,51%</w:t>
            </w:r>
          </w:p>
        </w:tc>
      </w:tr>
    </w:tbl>
    <w:p>
      <w:r>
        <w:t>Avaliação da posição no ranking: RS está na 1ª posição entre 27 UFs, com participação de 15,76%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8.893</w:t>
            </w:r>
          </w:p>
        </w:tc>
        <w:tc>
          <w:tcPr>
            <w:tcW w:type="dxa" w:w="2160"/>
          </w:tcPr>
          <w:p>
            <w:r>
              <w:t>9,33%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R$ 934.349.947,53</w:t>
            </w:r>
          </w:p>
        </w:tc>
        <w:tc>
          <w:tcPr>
            <w:tcW w:type="dxa" w:w="2160"/>
          </w:tcPr>
          <w:p>
            <w:r>
              <w:t>26,44%</w:t>
            </w:r>
          </w:p>
        </w:tc>
      </w:tr>
    </w:tbl>
    <w:p>
      <w:r>
        <w:t>Avaliação da posição no ranking: RS está na 1ª posição entre 27 UFs, com participação de 26,44%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4,48%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1.276</w:t>
            </w:r>
          </w:p>
        </w:tc>
        <w:tc>
          <w:tcPr>
            <w:tcW w:type="dxa" w:w="2160"/>
          </w:tcPr>
          <w:p>
            <w:r>
              <w:t>7,57%</w:t>
            </w:r>
          </w:p>
        </w:tc>
      </w:tr>
    </w:tbl>
    <w:p>
      <w:r>
        <w:t>Avaliação da posição no ranking: RS está na 4ª posição entre 27 UFs, com participação de 7,57%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RS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11,99%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R$ 12.723.403,09</w:t>
            </w:r>
          </w:p>
        </w:tc>
        <w:tc>
          <w:tcPr>
            <w:tcW w:type="dxa" w:w="2160"/>
          </w:tcPr>
          <w:p>
            <w:r>
              <w:t>12,23%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R$ 254.468,06</w:t>
            </w:r>
          </w:p>
        </w:tc>
        <w:tc>
          <w:tcPr>
            <w:tcW w:type="dxa" w:w="2160"/>
          </w:tcPr>
          <w:p>
            <w:r>
              <w:t>102,01%</w:t>
            </w:r>
          </w:p>
        </w:tc>
      </w:tr>
    </w:tbl>
    <w:p>
      <w:r>
        <w:t>Avaliação da posição no ranking: RS está na 3ª posição entre 27 UFs, com participação de 12,23%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Sul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0,65%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1,08%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0,70%</w:t>
            </w:r>
          </w:p>
        </w:tc>
      </w:tr>
    </w:tbl>
    <w:p>
      <w:r>
        <w:t>Avaliação da posição no ranking: RS está na 18ª posição entre 27 UFs, com participação de 0,70%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