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Santa Catarina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Santa Catarina possui 79.161 CAFs Pessoa Física ativos, equivalentes a 2,03% do total nacional. No PRONAF, o volume financeiro consolidado para a UF é R$ 1.706.160.904,82, equivalente a 11,63%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Santa Catarina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79.161</w:t>
            </w:r>
          </w:p>
        </w:tc>
        <w:tc>
          <w:tcPr>
            <w:tcW w:type="dxa" w:w="2160"/>
          </w:tcPr>
          <w:p>
            <w:r>
              <w:t>2,03%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2,15%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72.576</w:t>
            </w:r>
          </w:p>
        </w:tc>
        <w:tc>
          <w:tcPr>
            <w:tcW w:type="dxa" w:w="2160"/>
          </w:tcPr>
          <w:p>
            <w:r>
              <w:t>2,06%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86.756</w:t>
            </w:r>
          </w:p>
        </w:tc>
        <w:tc>
          <w:tcPr>
            <w:tcW w:type="dxa" w:w="2160"/>
          </w:tcPr>
          <w:p>
            <w:r>
              <w:t>2,46%</w:t>
            </w:r>
          </w:p>
        </w:tc>
      </w:tr>
    </w:tbl>
    <w:p>
      <w:r>
        <w:t>Avaliação da posição no ranking: SC está na 13ª posição entre 27 UFs, com participação de 2,03%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Santa Catarina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18.872</w:t>
            </w:r>
          </w:p>
        </w:tc>
        <w:tc>
          <w:tcPr>
            <w:tcW w:type="dxa" w:w="2160"/>
          </w:tcPr>
          <w:p>
            <w:r>
              <w:t>3,92%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R$ 1.706.160.904,82</w:t>
            </w:r>
          </w:p>
        </w:tc>
        <w:tc>
          <w:tcPr>
            <w:tcW w:type="dxa" w:w="2160"/>
          </w:tcPr>
          <w:p>
            <w:r>
              <w:t>11,63%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18.872</w:t>
            </w:r>
          </w:p>
        </w:tc>
        <w:tc>
          <w:tcPr>
            <w:tcW w:type="dxa" w:w="2160"/>
          </w:tcPr>
          <w:p>
            <w:r>
              <w:t>3,92%</w:t>
            </w:r>
          </w:p>
        </w:tc>
      </w:tr>
    </w:tbl>
    <w:p>
      <w:r>
        <w:t>Avaliação da posição no ranking: SC está na 2ª posição entre 27 UFs, com participação de 11,63%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Santa Catarina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5.527</w:t>
            </w:r>
          </w:p>
        </w:tc>
        <w:tc>
          <w:tcPr>
            <w:tcW w:type="dxa" w:w="2160"/>
          </w:tcPr>
          <w:p>
            <w:r>
              <w:t>5,80%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R$ 580.058.120,89</w:t>
            </w:r>
          </w:p>
        </w:tc>
        <w:tc>
          <w:tcPr>
            <w:tcW w:type="dxa" w:w="2160"/>
          </w:tcPr>
          <w:p>
            <w:r>
              <w:t>16,42%</w:t>
            </w:r>
          </w:p>
        </w:tc>
      </w:tr>
    </w:tbl>
    <w:p>
      <w:r>
        <w:t>Avaliação da posição no ranking: SC está na 2ª posição entre 27 UFs, com participação de 16,42%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Santa Catarina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563</w:t>
            </w:r>
          </w:p>
        </w:tc>
        <w:tc>
          <w:tcPr>
            <w:tcW w:type="dxa" w:w="2160"/>
          </w:tcPr>
          <w:p>
            <w:r>
              <w:t>9,73%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678</w:t>
            </w:r>
          </w:p>
        </w:tc>
        <w:tc>
          <w:tcPr>
            <w:tcW w:type="dxa" w:w="2160"/>
          </w:tcPr>
          <w:p>
            <w:r>
              <w:t>4,02%</w:t>
            </w:r>
          </w:p>
        </w:tc>
      </w:tr>
    </w:tbl>
    <w:p>
      <w:r>
        <w:t>Avaliação da posição no ranking: SC está na 7ª posição entre 27 UFs, com participação de 4,02%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Santa Catarina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SC não possui registro nesta base para o indicador de ranking (Agricultores com pagamento liberado). Por isso, a UF não recebe uma colocação interpretável; o universo de comparação considera as 27 UFs oficiais.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Santa Catarina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0,24%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R$ 280.000,00</w:t>
            </w:r>
          </w:p>
        </w:tc>
        <w:tc>
          <w:tcPr>
            <w:tcW w:type="dxa" w:w="2160"/>
          </w:tcPr>
          <w:p>
            <w:r>
              <w:t>0,27%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R$ 280.000,00</w:t>
            </w:r>
          </w:p>
        </w:tc>
        <w:tc>
          <w:tcPr>
            <w:tcW w:type="dxa" w:w="2160"/>
          </w:tcPr>
          <w:p>
            <w:r>
              <w:t>112,24%</w:t>
            </w:r>
          </w:p>
        </w:tc>
      </w:tr>
    </w:tbl>
    <w:p>
      <w:r>
        <w:t>Avaliação da posição no ranking: SC está na 16ª posição entre 27 UFs, com participação de 0,27% no total nacional para o indicador de ranking (Valor liberado).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Santa Catarina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0,74%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0,38%</w:t>
            </w:r>
          </w:p>
        </w:tc>
      </w:tr>
    </w:tbl>
    <w:p>
      <w:r>
        <w:t>Avaliação da posição no ranking: SC está na 22ª posição entre 27 UFs, com participação de 0,38%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