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Versão 1</w:t>
      </w:r>
    </w:p>
    <w:p>
      <w:pPr>
        <w:pStyle w:val="Title"/>
        <w:jc w:val="center"/>
      </w:pPr>
      <w:r>
        <w:t>Relatório Estadual de Monitoramento</w:t>
      </w:r>
    </w:p>
    <w:p>
      <w:pPr>
        <w:jc w:val="center"/>
      </w:pPr>
      <w:r>
        <w:t>Sergipe</w:t>
      </w:r>
    </w:p>
    <w:p>
      <w:r>
        <w:t>Gerado em: 27/04/2026 15:37</w:t>
      </w:r>
    </w:p>
    <w:p>
      <w:r>
        <w:t>Documento preliminar gerado a partir das bases de políticas públicas disponíveis. A estrutura segue o documento padrão v1 como referência editorial.</w:t>
      </w:r>
    </w:p>
    <w:p>
      <w:pPr>
        <w:pStyle w:val="Heading1"/>
      </w:pPr>
      <w:r>
        <w:t>Sumário Executivo</w:t>
      </w:r>
    </w:p>
    <w:p>
      <w:r>
        <w:t>Sergipe possui 65.849 CAFs Pessoa Física ativos, equivalentes a 1,69% do total nacional. No PRONAF, o volume financeiro consolidado para a UF é R$ 357.701.496,26, equivalente a 2,44% do Brasil.</w:t>
      </w:r>
    </w:p>
    <w:p>
      <w:pPr>
        <w:pStyle w:val="Heading1"/>
      </w:pPr>
      <w:r>
        <w:t>1. CAF - Cadastro da Agricultura Familiar</w:t>
      </w:r>
    </w:p>
    <w:p>
      <w:r>
        <w:t>Indicadores consolidados de CAF ativo, com recorte de pessoa física, pessoa jurídica e gênero.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CAFs Pessoa Física ativos</w:t>
            </w:r>
          </w:p>
        </w:tc>
        <w:tc>
          <w:tcPr>
            <w:tcW w:type="dxa" w:w="2160"/>
          </w:tcPr>
          <w:p>
            <w:r>
              <w:t>3.898.268</w:t>
            </w:r>
          </w:p>
        </w:tc>
        <w:tc>
          <w:tcPr>
            <w:tcW w:type="dxa" w:w="2160"/>
          </w:tcPr>
          <w:p>
            <w:r>
              <w:t>65.849</w:t>
            </w:r>
          </w:p>
        </w:tc>
        <w:tc>
          <w:tcPr>
            <w:tcW w:type="dxa" w:w="2160"/>
          </w:tcPr>
          <w:p>
            <w:r>
              <w:t>1,69%</w:t>
            </w:r>
          </w:p>
        </w:tc>
      </w:tr>
      <w:tr>
        <w:tc>
          <w:tcPr>
            <w:tcW w:type="dxa" w:w="2160"/>
          </w:tcPr>
          <w:p>
            <w:r>
              <w:t>CAFs Pessoa Jurídica ativos</w:t>
            </w:r>
          </w:p>
        </w:tc>
        <w:tc>
          <w:tcPr>
            <w:tcW w:type="dxa" w:w="2160"/>
          </w:tcPr>
          <w:p>
            <w:r>
              <w:t>9.161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1,19%</w:t>
            </w:r>
          </w:p>
        </w:tc>
      </w:tr>
      <w:tr>
        <w:tc>
          <w:tcPr>
            <w:tcW w:type="dxa" w:w="2160"/>
          </w:tcPr>
          <w:p>
            <w:r>
              <w:t>Mulheres em CAF ativo</w:t>
            </w:r>
          </w:p>
        </w:tc>
        <w:tc>
          <w:tcPr>
            <w:tcW w:type="dxa" w:w="2160"/>
          </w:tcPr>
          <w:p>
            <w:r>
              <w:t>3.529.596</w:t>
            </w:r>
          </w:p>
        </w:tc>
        <w:tc>
          <w:tcPr>
            <w:tcW w:type="dxa" w:w="2160"/>
          </w:tcPr>
          <w:p>
            <w:r>
              <w:t>57.184</w:t>
            </w:r>
          </w:p>
        </w:tc>
        <w:tc>
          <w:tcPr>
            <w:tcW w:type="dxa" w:w="2160"/>
          </w:tcPr>
          <w:p>
            <w:r>
              <w:t>1,62%</w:t>
            </w:r>
          </w:p>
        </w:tc>
      </w:tr>
      <w:tr>
        <w:tc>
          <w:tcPr>
            <w:tcW w:type="dxa" w:w="2160"/>
          </w:tcPr>
          <w:p>
            <w:r>
              <w:t>Homens em CAF ativo</w:t>
            </w:r>
          </w:p>
        </w:tc>
        <w:tc>
          <w:tcPr>
            <w:tcW w:type="dxa" w:w="2160"/>
          </w:tcPr>
          <w:p>
            <w:r>
              <w:t>3.519.584</w:t>
            </w:r>
          </w:p>
        </w:tc>
        <w:tc>
          <w:tcPr>
            <w:tcW w:type="dxa" w:w="2160"/>
          </w:tcPr>
          <w:p>
            <w:r>
              <w:t>54.401</w:t>
            </w:r>
          </w:p>
        </w:tc>
        <w:tc>
          <w:tcPr>
            <w:tcW w:type="dxa" w:w="2160"/>
          </w:tcPr>
          <w:p>
            <w:r>
              <w:t>1,55%</w:t>
            </w:r>
          </w:p>
        </w:tc>
      </w:tr>
    </w:tbl>
    <w:p>
      <w:r>
        <w:t>Avaliação da posição no ranking: SE está na 14ª posição entre 27 UFs, com participação de 1,69% no total nacional para o indicador de ranking (CAFs Pessoa Física ativos).</w:t>
      </w:r>
    </w:p>
    <w:p>
      <w:r>
        <w:t>Fonte: CAF Transparência.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Jovens em CAF ativo. Informação não disponível nas bases atuais.</w:t>
      </w:r>
    </w:p>
    <w:p>
      <w:pPr>
        <w:pStyle w:val="ListBullet"/>
      </w:pPr>
      <w:r>
        <w:t>Quilombolas, indígenas e povos e comunidades tradicionais com DAP. Informação não disponível nas bases atuais.</w:t>
      </w:r>
    </w:p>
    <w:p>
      <w:pPr>
        <w:pStyle w:val="ListBullet"/>
      </w:pPr>
      <w:r>
        <w:t>Principais produtos da agricultura familiar no estado. Informação não disponível nas bases atuais.</w:t>
      </w:r>
    </w:p>
    <w:p>
      <w:pPr>
        <w:pStyle w:val="ListBullet"/>
      </w:pPr>
      <w:r>
        <w:t>Produtos com maior valor total de produção no estado. Informação não disponível nas bases atuais.</w:t>
      </w:r>
    </w:p>
    <w:p>
      <w:pPr>
        <w:pStyle w:val="Heading1"/>
      </w:pPr>
      <w:r>
        <w:t>2. PRONAF</w:t>
      </w:r>
    </w:p>
    <w:p>
      <w:r>
        <w:t>Dados gerais de contratos, operações e volume financeiro do PRONAF.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12.988</w:t>
            </w:r>
          </w:p>
        </w:tc>
        <w:tc>
          <w:tcPr>
            <w:tcW w:type="dxa" w:w="2160"/>
          </w:tcPr>
          <w:p>
            <w:r>
              <w:t>2,69%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R$ 14.671.081.816,64</w:t>
            </w:r>
          </w:p>
        </w:tc>
        <w:tc>
          <w:tcPr>
            <w:tcW w:type="dxa" w:w="2160"/>
          </w:tcPr>
          <w:p>
            <w:r>
              <w:t>R$ 357.701.496,26</w:t>
            </w:r>
          </w:p>
        </w:tc>
        <w:tc>
          <w:tcPr>
            <w:tcW w:type="dxa" w:w="2160"/>
          </w:tcPr>
          <w:p>
            <w:r>
              <w:t>2,44%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482.017</w:t>
            </w:r>
          </w:p>
        </w:tc>
        <w:tc>
          <w:tcPr>
            <w:tcW w:type="dxa" w:w="2160"/>
          </w:tcPr>
          <w:p>
            <w:r>
              <w:t>12.988</w:t>
            </w:r>
          </w:p>
        </w:tc>
        <w:tc>
          <w:tcPr>
            <w:tcW w:type="dxa" w:w="2160"/>
          </w:tcPr>
          <w:p>
            <w:r>
              <w:t>2,69%</w:t>
            </w:r>
          </w:p>
        </w:tc>
      </w:tr>
    </w:tbl>
    <w:p>
      <w:r>
        <w:t>Avaliação da posição no ranking: SE está na 12ª posição entre 27 UFs, com participação de 2,44%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detalhada no formato do documento padrão. Informação não disponível nas bases atuais.</w:t>
      </w:r>
    </w:p>
    <w:p>
      <w:pPr>
        <w:pStyle w:val="Heading1"/>
      </w:pPr>
      <w:r>
        <w:t>3. Mais Alimentos</w:t>
      </w:r>
    </w:p>
    <w:p>
      <w:r>
        <w:t>Quantidade de contratos e valor total dos contratos do Mais Alimentos.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Contratos</w:t>
            </w:r>
          </w:p>
        </w:tc>
        <w:tc>
          <w:tcPr>
            <w:tcW w:type="dxa" w:w="2160"/>
          </w:tcPr>
          <w:p>
            <w:r>
              <w:t>95.355</w:t>
            </w:r>
          </w:p>
        </w:tc>
        <w:tc>
          <w:tcPr>
            <w:tcW w:type="dxa" w:w="2160"/>
          </w:tcPr>
          <w:p>
            <w:r>
              <w:t>1.405</w:t>
            </w:r>
          </w:p>
        </w:tc>
        <w:tc>
          <w:tcPr>
            <w:tcW w:type="dxa" w:w="2160"/>
          </w:tcPr>
          <w:p>
            <w:r>
              <w:t>1,47%</w:t>
            </w:r>
          </w:p>
        </w:tc>
      </w:tr>
      <w:tr>
        <w:tc>
          <w:tcPr>
            <w:tcW w:type="dxa" w:w="2160"/>
          </w:tcPr>
          <w:p>
            <w:r>
              <w:t>Valor total dos contratos</w:t>
            </w:r>
          </w:p>
        </w:tc>
        <w:tc>
          <w:tcPr>
            <w:tcW w:type="dxa" w:w="2160"/>
          </w:tcPr>
          <w:p>
            <w:r>
              <w:t>R$ 3.533.334.483,94</w:t>
            </w:r>
          </w:p>
        </w:tc>
        <w:tc>
          <w:tcPr>
            <w:tcW w:type="dxa" w:w="2160"/>
          </w:tcPr>
          <w:p>
            <w:r>
              <w:t>R$ 26.037.294,31</w:t>
            </w:r>
          </w:p>
        </w:tc>
        <w:tc>
          <w:tcPr>
            <w:tcW w:type="dxa" w:w="2160"/>
          </w:tcPr>
          <w:p>
            <w:r>
              <w:t>0,74%</w:t>
            </w:r>
          </w:p>
        </w:tc>
      </w:tr>
    </w:tbl>
    <w:p>
      <w:r>
        <w:t>Avaliação da posição no ranking: SE está na 15ª posição entre 27 UFs, com participação de 0,74% no total nacional para o indicador de ranking (Valor total dos contratos).</w:t>
      </w:r>
    </w:p>
    <w:p>
      <w:r>
        <w:t>Fonte: GAIA. Referência: 03/2026. Geração da base: 14/04/2026.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4. ATER</w:t>
      </w:r>
    </w:p>
    <w:p>
      <w:r>
        <w:t>Famílias com ATER iniciada e recebida no ano.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com ATER iniciada no ano</w:t>
            </w:r>
          </w:p>
        </w:tc>
        <w:tc>
          <w:tcPr>
            <w:tcW w:type="dxa" w:w="2160"/>
          </w:tcPr>
          <w:p>
            <w:r>
              <w:t>5.785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com ATER recebida no ano</w:t>
            </w:r>
          </w:p>
        </w:tc>
        <w:tc>
          <w:tcPr>
            <w:tcW w:type="dxa" w:w="2160"/>
          </w:tcPr>
          <w:p>
            <w:r>
              <w:t>16.855</w:t>
            </w:r>
          </w:p>
        </w:tc>
        <w:tc>
          <w:tcPr>
            <w:tcW w:type="dxa" w:w="2160"/>
          </w:tcPr>
          <w:p>
            <w:r>
              <w:t>648</w:t>
            </w:r>
          </w:p>
        </w:tc>
        <w:tc>
          <w:tcPr>
            <w:tcW w:type="dxa" w:w="2160"/>
          </w:tcPr>
          <w:p>
            <w:r>
              <w:t>3,84%</w:t>
            </w:r>
          </w:p>
        </w:tc>
      </w:tr>
    </w:tbl>
    <w:p>
      <w:r>
        <w:t>Avaliação da posição no ranking: SE está na 8ª posição entre 27 UFs, com participação de 3,84% no total nacional para o indicador de ranking (Famílias com ATER recebida no ano).</w:t>
      </w:r>
    </w:p>
    <w:p>
      <w:r>
        <w:t>Fonte: Base ATER/ANATER. Referência: 03/2026. Geração da base: 10/04/2026.</w:t>
      </w:r>
    </w:p>
    <w:p>
      <w:pPr>
        <w:pStyle w:val="Heading1"/>
      </w:pPr>
      <w:r>
        <w:t>5. Garantia-Safra</w:t>
      </w:r>
    </w:p>
    <w:p>
      <w:r>
        <w:t>Agricultores aderidos e agricultores com pagamento liberado no Garantia-Safra.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Agricultores aderidos</w:t>
            </w:r>
          </w:p>
        </w:tc>
        <w:tc>
          <w:tcPr>
            <w:tcW w:type="dxa" w:w="2160"/>
          </w:tcPr>
          <w:p>
            <w:r>
              <w:t>900.332</w:t>
            </w:r>
          </w:p>
        </w:tc>
        <w:tc>
          <w:tcPr>
            <w:tcW w:type="dxa" w:w="2160"/>
          </w:tcPr>
          <w:p>
            <w:r>
              <w:t>15.939</w:t>
            </w:r>
          </w:p>
        </w:tc>
        <w:tc>
          <w:tcPr>
            <w:tcW w:type="dxa" w:w="2160"/>
          </w:tcPr>
          <w:p>
            <w:r>
              <w:t>1,77%</w:t>
            </w:r>
          </w:p>
        </w:tc>
      </w:tr>
      <w:tr>
        <w:tc>
          <w:tcPr>
            <w:tcW w:type="dxa" w:w="2160"/>
          </w:tcPr>
          <w:p>
            <w:r>
              <w:t>Agricultores com pagamento liberado</w:t>
            </w:r>
          </w:p>
        </w:tc>
        <w:tc>
          <w:tcPr>
            <w:tcW w:type="dxa" w:w="2160"/>
          </w:tcPr>
          <w:p>
            <w:r>
              <w:t>833.621</w:t>
            </w:r>
          </w:p>
        </w:tc>
        <w:tc>
          <w:tcPr>
            <w:tcW w:type="dxa" w:w="2160"/>
          </w:tcPr>
          <w:p>
            <w:r>
              <w:t>15.799</w:t>
            </w:r>
          </w:p>
        </w:tc>
        <w:tc>
          <w:tcPr>
            <w:tcW w:type="dxa" w:w="2160"/>
          </w:tcPr>
          <w:p>
            <w:r>
              <w:t>1,90%</w:t>
            </w:r>
          </w:p>
        </w:tc>
      </w:tr>
    </w:tbl>
    <w:p>
      <w:r>
        <w:t>Avaliação da posição no ranking: SE está na 9ª posição entre 27 UFs, com participação de 1,90% no total nacional para o indicador de ranking (Agricultores com pagamento liberado).</w:t>
      </w:r>
    </w:p>
    <w:p>
      <w:r>
        <w:t>Fonte: Garantia-Safra. Referência: 2023-2024. Geração da base: 13/04/2026.</w:t>
      </w:r>
    </w:p>
    <w:p>
      <w:r>
        <w:t>Lacunas em relação ao documento padrão:</w:t>
      </w:r>
    </w:p>
    <w:p>
      <w:pPr>
        <w:pStyle w:val="ListBullet"/>
      </w:pPr>
      <w:r>
        <w:t>Seção sem equivalente direto no documento padrão v1; incluída porque há base disponível. Informação não disponível nas bases atuais.</w:t>
      </w:r>
    </w:p>
    <w:p>
      <w:pPr>
        <w:pStyle w:val="Heading1"/>
      </w:pPr>
      <w:r>
        <w:t>6. PNCF</w:t>
      </w:r>
    </w:p>
    <w:p>
      <w:r>
        <w:t>Número de operações, valor liberado e valor médio liberado por operação.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Operações</w:t>
            </w:r>
          </w:p>
        </w:tc>
        <w:tc>
          <w:tcPr>
            <w:tcW w:type="dxa" w:w="2160"/>
          </w:tcPr>
          <w:p>
            <w:r>
              <w:t>417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6,00%</w:t>
            </w:r>
          </w:p>
        </w:tc>
      </w:tr>
      <w:tr>
        <w:tc>
          <w:tcPr>
            <w:tcW w:type="dxa" w:w="2160"/>
          </w:tcPr>
          <w:p>
            <w:r>
              <w:t>Valor liberado</w:t>
            </w:r>
          </w:p>
        </w:tc>
        <w:tc>
          <w:tcPr>
            <w:tcW w:type="dxa" w:w="2160"/>
          </w:tcPr>
          <w:p>
            <w:r>
              <w:t>R$ 104.024.293,61</w:t>
            </w:r>
          </w:p>
        </w:tc>
        <w:tc>
          <w:tcPr>
            <w:tcW w:type="dxa" w:w="2160"/>
          </w:tcPr>
          <w:p>
            <w:r>
              <w:t>R$ 5.555.950,18</w:t>
            </w:r>
          </w:p>
        </w:tc>
        <w:tc>
          <w:tcPr>
            <w:tcW w:type="dxa" w:w="2160"/>
          </w:tcPr>
          <w:p>
            <w:r>
              <w:t>5,34%</w:t>
            </w:r>
          </w:p>
        </w:tc>
      </w:tr>
      <w:tr>
        <w:tc>
          <w:tcPr>
            <w:tcW w:type="dxa" w:w="2160"/>
          </w:tcPr>
          <w:p>
            <w:r>
              <w:t>Valor médio liberado por operação</w:t>
            </w:r>
          </w:p>
        </w:tc>
        <w:tc>
          <w:tcPr>
            <w:tcW w:type="dxa" w:w="2160"/>
          </w:tcPr>
          <w:p>
            <w:r>
              <w:t>R$ 249.458,74</w:t>
            </w:r>
          </w:p>
        </w:tc>
        <w:tc>
          <w:tcPr>
            <w:tcW w:type="dxa" w:w="2160"/>
          </w:tcPr>
          <w:p>
            <w:r>
              <w:t>R$ 222.238,01</w:t>
            </w:r>
          </w:p>
        </w:tc>
        <w:tc>
          <w:tcPr>
            <w:tcW w:type="dxa" w:w="2160"/>
          </w:tcPr>
          <w:p>
            <w:r>
              <w:t>89,09%</w:t>
            </w:r>
          </w:p>
        </w:tc>
      </w:tr>
    </w:tbl>
    <w:p>
      <w:r>
        <w:t>Avaliação da posição no ranking: SE está na 9ª posição entre 27 UFs, com participação de 5,34% no total nacional para o indicador de ranking (Valor liberado).</w:t>
      </w:r>
    </w:p>
    <w:p>
      <w:r>
        <w:t>Fonte: PNCF. Referência: 03/2026. Geração da base: 10/04/2026.</w:t>
      </w:r>
    </w:p>
    <w:p>
      <w:r>
        <w:t>Lacunas em relação ao documento padrão:</w:t>
      </w:r>
    </w:p>
    <w:p>
      <w:pPr>
        <w:pStyle w:val="ListBullet"/>
      </w:pPr>
      <w:r>
        <w:t>Série histórica anual no formato do documento padrão. Informação não disponível nas bases atuais.</w:t>
      </w:r>
    </w:p>
    <w:p>
      <w:pPr>
        <w:pStyle w:val="Heading1"/>
      </w:pPr>
      <w:r>
        <w:t>7. PNRA - Reforma Agrária</w:t>
      </w:r>
    </w:p>
    <w:p>
      <w:r>
        <w:t>Famílias por tipo de assentamento, reconhecimento e regularização no PNRA.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Indicador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Brasil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Sergipe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Percentual em relação ao nacional</w:t>
            </w:r>
          </w:p>
        </w:tc>
      </w:tr>
      <w:tr>
        <w:tc>
          <w:tcPr>
            <w:tcW w:type="dxa" w:w="2160"/>
          </w:tcPr>
          <w:p>
            <w:r>
              <w:t>Famílias em PA criado diferenciado</w:t>
            </w:r>
          </w:p>
        </w:tc>
        <w:tc>
          <w:tcPr>
            <w:tcW w:type="dxa" w:w="2160"/>
          </w:tcPr>
          <w:p>
            <w:r>
              <w:t>2.341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PA criado tradicional</w:t>
            </w:r>
          </w:p>
        </w:tc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0,00%</w:t>
            </w:r>
          </w:p>
        </w:tc>
      </w:tr>
      <w:tr>
        <w:tc>
          <w:tcPr>
            <w:tcW w:type="dxa" w:w="2160"/>
          </w:tcPr>
          <w:p>
            <w:r>
              <w:t>Famílias em reconhecimento</w:t>
            </w:r>
          </w:p>
        </w:tc>
        <w:tc>
          <w:tcPr>
            <w:tcW w:type="dxa" w:w="2160"/>
          </w:tcPr>
          <w:p>
            <w:r>
              <w:t>2.000</w:t>
            </w:r>
          </w:p>
        </w:tc>
        <w:tc>
          <w:tcPr>
            <w:tcW w:type="dxa" w:w="2160"/>
          </w:tcPr>
          <w:p>
            <w:r>
              <w:t>256</w:t>
            </w:r>
          </w:p>
        </w:tc>
        <w:tc>
          <w:tcPr>
            <w:tcW w:type="dxa" w:w="2160"/>
          </w:tcPr>
          <w:p>
            <w:r>
              <w:t>12,80%</w:t>
            </w:r>
          </w:p>
        </w:tc>
      </w:tr>
      <w:tr>
        <w:tc>
          <w:tcPr>
            <w:tcW w:type="dxa" w:w="2160"/>
          </w:tcPr>
          <w:p>
            <w:r>
              <w:t>Famílias em regularização</w:t>
            </w:r>
          </w:p>
        </w:tc>
        <w:tc>
          <w:tcPr>
            <w:tcW w:type="dxa" w:w="2160"/>
          </w:tcPr>
          <w:p>
            <w:r>
              <w:t>4.738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0,99%</w:t>
            </w:r>
          </w:p>
        </w:tc>
      </w:tr>
      <w:tr>
        <w:tc>
          <w:tcPr>
            <w:tcW w:type="dxa" w:w="2160"/>
          </w:tcPr>
          <w:p>
            <w:r>
              <w:t>Total de famílias</w:t>
            </w:r>
          </w:p>
        </w:tc>
        <w:tc>
          <w:tcPr>
            <w:tcW w:type="dxa" w:w="2160"/>
          </w:tcPr>
          <w:p>
            <w:r>
              <w:t>9.119</w:t>
            </w:r>
          </w:p>
        </w:tc>
        <w:tc>
          <w:tcPr>
            <w:tcW w:type="dxa" w:w="2160"/>
          </w:tcPr>
          <w:p>
            <w:r>
              <w:t>303</w:t>
            </w:r>
          </w:p>
        </w:tc>
        <w:tc>
          <w:tcPr>
            <w:tcW w:type="dxa" w:w="2160"/>
          </w:tcPr>
          <w:p>
            <w:r>
              <w:t>3,32%</w:t>
            </w:r>
          </w:p>
        </w:tc>
      </w:tr>
    </w:tbl>
    <w:p>
      <w:r>
        <w:t>Avaliação da posição no ranking: SE está na 8ª posição entre 27 UFs, com participação de 3,32% no total nacional para o indicador de ranking (Total de famílias).</w:t>
      </w:r>
    </w:p>
    <w:p>
      <w:r>
        <w:t>Fonte: PNRA. Referência: 2026 até mar. Geração da base: 15/04/2026.</w:t>
      </w:r>
    </w:p>
    <w:p>
      <w:r>
        <w:t>Lacunas em relação ao documento padrão:</w:t>
      </w:r>
    </w:p>
    <w:p>
      <w:pPr>
        <w:pStyle w:val="ListBullet"/>
      </w:pPr>
      <w:r>
        <w:t>Quadros históricos anuais no formato do documento padrão. Informação não disponível nas bases atuais.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