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Dados Teste: MG</w:t>
      </w:r>
    </w:p>
    <w:p>
      <w:r>
        <w:t>Gerado em: 24/04/2026 17:26</w:t>
      </w:r>
    </w:p>
    <w:p>
      <w:r>
        <w:t>Documento preliminar gerado a partir dos totalizadores de CAF e PRONAF.</w:t>
      </w:r>
    </w:p>
    <w:p>
      <w:pPr>
        <w:pStyle w:val="Heading1"/>
      </w:pPr>
      <w:r>
        <w:t>1. Situação do CAF (MG x Brasil)</w:t>
      </w:r>
    </w:p>
    <w:p>
      <w:r>
        <w:t>Indicadores consolidados de CAF ativo por UF, comparados ao total nacional.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UF/BR</w:t>
            </w:r>
          </w:p>
        </w:tc>
      </w:tr>
      <w:tr>
        <w:tc>
          <w:tcPr>
            <w:tcW w:type="dxa" w:w="2160"/>
          </w:tcPr>
          <w:p>
            <w:r>
              <w:t>CAFs Pessoa Física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pPr>
        <w:pStyle w:val="Heading1"/>
      </w:pPr>
      <w:r>
        <w:t>2. Desempenho do PRONAF (MG x Brasil)</w:t>
      </w:r>
    </w:p>
    <w:p>
      <w:r>
        <w:t>Indicadores de contratos e valores do PRONAF por público, comparados ao total nacional.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Qtd. MG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Qtd. Brasil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Qtd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MG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Brasil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Valor</w:t>
            </w:r>
          </w:p>
        </w:tc>
      </w:tr>
      <w:tr>
        <w:tc>
          <w:tcPr>
            <w:tcW w:type="dxa" w:w="1234"/>
          </w:tcPr>
          <w:p>
            <w:r>
              <w:t>Feminino</w:t>
            </w:r>
          </w:p>
        </w:tc>
        <w:tc>
          <w:tcPr>
            <w:tcW w:type="dxa" w:w="1234"/>
          </w:tcPr>
          <w:p>
            <w:r>
              <w:t>9.424</w:t>
            </w:r>
          </w:p>
        </w:tc>
        <w:tc>
          <w:tcPr>
            <w:tcW w:type="dxa" w:w="1234"/>
          </w:tcPr>
          <w:p>
            <w:r>
              <w:t>128.756</w:t>
            </w:r>
          </w:p>
        </w:tc>
        <w:tc>
          <w:tcPr>
            <w:tcW w:type="dxa" w:w="1234"/>
          </w:tcPr>
          <w:p>
            <w:r>
              <w:t>7,32%</w:t>
            </w:r>
          </w:p>
        </w:tc>
        <w:tc>
          <w:tcPr>
            <w:tcW w:type="dxa" w:w="1234"/>
          </w:tcPr>
          <w:p>
            <w:r>
              <w:t>R$ 174.278.525,96</w:t>
            </w:r>
          </w:p>
        </w:tc>
        <w:tc>
          <w:tcPr>
            <w:tcW w:type="dxa" w:w="1234"/>
          </w:tcPr>
          <w:p>
            <w:r>
              <w:t>R$ 2.393.128.376,45</w:t>
            </w:r>
          </w:p>
        </w:tc>
        <w:tc>
          <w:tcPr>
            <w:tcW w:type="dxa" w:w="1234"/>
          </w:tcPr>
          <w:p>
            <w:r>
              <w:t>7,28%</w:t>
            </w:r>
          </w:p>
        </w:tc>
      </w:tr>
      <w:tr>
        <w:tc>
          <w:tcPr>
            <w:tcW w:type="dxa" w:w="1234"/>
          </w:tcPr>
          <w:p>
            <w:r>
              <w:t>Masculino</w:t>
            </w:r>
          </w:p>
        </w:tc>
        <w:tc>
          <w:tcPr>
            <w:tcW w:type="dxa" w:w="1234"/>
          </w:tcPr>
          <w:p>
            <w:r>
              <w:t>18.649</w:t>
            </w:r>
          </w:p>
        </w:tc>
        <w:tc>
          <w:tcPr>
            <w:tcW w:type="dxa" w:w="1234"/>
          </w:tcPr>
          <w:p>
            <w:r>
              <w:t>175.558</w:t>
            </w:r>
          </w:p>
        </w:tc>
        <w:tc>
          <w:tcPr>
            <w:tcW w:type="dxa" w:w="1234"/>
          </w:tcPr>
          <w:p>
            <w:r>
              <w:t>10,62%</w:t>
            </w:r>
          </w:p>
        </w:tc>
        <w:tc>
          <w:tcPr>
            <w:tcW w:type="dxa" w:w="1234"/>
          </w:tcPr>
          <w:p>
            <w:r>
              <w:t>R$ 762.823.915,08</w:t>
            </w:r>
          </w:p>
        </w:tc>
        <w:tc>
          <w:tcPr>
            <w:tcW w:type="dxa" w:w="1234"/>
          </w:tcPr>
          <w:p>
            <w:r>
              <w:t>R$ 6.171.962.540,40</w:t>
            </w:r>
          </w:p>
        </w:tc>
        <w:tc>
          <w:tcPr>
            <w:tcW w:type="dxa" w:w="1234"/>
          </w:tcPr>
          <w:p>
            <w:r>
              <w:t>12,36%</w:t>
            </w:r>
          </w:p>
        </w:tc>
      </w:tr>
      <w:tr>
        <w:tc>
          <w:tcPr>
            <w:tcW w:type="dxa" w:w="1234"/>
          </w:tcPr>
          <w:p>
            <w:r>
              <w:t>Sem identificação</w:t>
            </w:r>
          </w:p>
        </w:tc>
        <w:tc>
          <w:tcPr>
            <w:tcW w:type="dxa" w:w="1234"/>
          </w:tcPr>
          <w:p>
            <w:r>
              <w:t>16.775</w:t>
            </w:r>
          </w:p>
        </w:tc>
        <w:tc>
          <w:tcPr>
            <w:tcW w:type="dxa" w:w="1234"/>
          </w:tcPr>
          <w:p>
            <w:r>
              <w:t>177.703</w:t>
            </w:r>
          </w:p>
        </w:tc>
        <w:tc>
          <w:tcPr>
            <w:tcW w:type="dxa" w:w="1234"/>
          </w:tcPr>
          <w:p>
            <w:r>
              <w:t>9,44%</w:t>
            </w:r>
          </w:p>
        </w:tc>
        <w:tc>
          <w:tcPr>
            <w:tcW w:type="dxa" w:w="1234"/>
          </w:tcPr>
          <w:p>
            <w:r>
              <w:t>R$ 667.192.341,53</w:t>
            </w:r>
          </w:p>
        </w:tc>
        <w:tc>
          <w:tcPr>
            <w:tcW w:type="dxa" w:w="1234"/>
          </w:tcPr>
          <w:p>
            <w:r>
              <w:t>R$ 6.105.990.899,79</w:t>
            </w:r>
          </w:p>
        </w:tc>
        <w:tc>
          <w:tcPr>
            <w:tcW w:type="dxa" w:w="1234"/>
          </w:tcPr>
          <w:p>
            <w:r>
              <w:t>10,93%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44.848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482.017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9,30%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R$ 1.604.294.782,57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R$ 14.671.081.816,64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10,94%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