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5CEAA" w14:textId="77777777" w:rsidR="00B4700B" w:rsidRPr="00B4700B" w:rsidRDefault="00B4700B" w:rsidP="00B4700B">
      <w:pPr>
        <w:ind w:firstLine="0"/>
        <w:rPr>
          <w:rFonts w:ascii="Palatino Linotype" w:hAnsi="Palatino Linotype"/>
          <w:sz w:val="20"/>
          <w:szCs w:val="20"/>
          <w:lang w:val="en-US"/>
        </w:rPr>
      </w:pPr>
      <w:commentRangeStart w:id="0"/>
      <w:r w:rsidRPr="00B4700B">
        <w:rPr>
          <w:rFonts w:ascii="Palatino Linotype" w:hAnsi="Palatino Linotype"/>
          <w:sz w:val="20"/>
          <w:szCs w:val="20"/>
          <w:lang w:val="en-US"/>
        </w:rPr>
        <w:t>Supplementary Materials</w:t>
      </w:r>
      <w:commentRangeEnd w:id="0"/>
      <w:r w:rsidR="00C9136F" w:rsidRPr="00B4700B">
        <w:rPr>
          <w:rStyle w:val="Refdecomentrio"/>
          <w:rFonts w:ascii="Palatino Linotype" w:hAnsi="Palatino Linotype"/>
          <w:sz w:val="20"/>
          <w:szCs w:val="20"/>
          <w:lang w:val="en-US"/>
        </w:rPr>
        <w:commentReference w:id="0"/>
      </w:r>
    </w:p>
    <w:p w14:paraId="270D90EF" w14:textId="77777777" w:rsidR="00C9136F" w:rsidRDefault="00C9136F" w:rsidP="00B4700B">
      <w:pPr>
        <w:spacing w:line="240" w:lineRule="auto"/>
        <w:ind w:firstLine="0"/>
        <w:rPr>
          <w:rFonts w:ascii="Palatino Linotype" w:hAnsi="Palatino Linotype"/>
          <w:b/>
          <w:bCs/>
          <w:sz w:val="32"/>
          <w:szCs w:val="32"/>
          <w:lang w:val="en-US"/>
        </w:rPr>
      </w:pPr>
    </w:p>
    <w:p w14:paraId="7F760A20" w14:textId="62BA7B00" w:rsidR="00B4700B" w:rsidRPr="00B4700B" w:rsidRDefault="00B4700B" w:rsidP="00B4700B">
      <w:pPr>
        <w:spacing w:line="240" w:lineRule="auto"/>
        <w:ind w:firstLine="0"/>
        <w:rPr>
          <w:rFonts w:ascii="Palatino Linotype" w:hAnsi="Palatino Linotype"/>
          <w:b/>
          <w:bCs/>
          <w:sz w:val="32"/>
          <w:szCs w:val="32"/>
          <w:lang w:val="en-US"/>
        </w:rPr>
      </w:pPr>
      <w:r w:rsidRPr="00B4700B">
        <w:rPr>
          <w:rFonts w:ascii="Palatino Linotype" w:hAnsi="Palatino Linotype"/>
          <w:b/>
          <w:bCs/>
          <w:sz w:val="32"/>
          <w:szCs w:val="32"/>
          <w:lang w:val="en-US"/>
        </w:rPr>
        <w:t>Regional comparison of Atlantic Forest physiognomies using GEDI-derived structural metrics</w:t>
      </w:r>
    </w:p>
    <w:p w14:paraId="6E6F5A92" w14:textId="77777777" w:rsidR="00B4700B" w:rsidRPr="00B4700B" w:rsidRDefault="00B4700B" w:rsidP="00B4700B">
      <w:pPr>
        <w:ind w:firstLine="0"/>
        <w:rPr>
          <w:rFonts w:ascii="Palatino Linotype" w:hAnsi="Palatino Linotype"/>
          <w:b/>
          <w:bCs/>
          <w:sz w:val="20"/>
          <w:szCs w:val="20"/>
          <w:lang w:val="en-US"/>
        </w:rPr>
      </w:pPr>
    </w:p>
    <w:p w14:paraId="40F28801" w14:textId="77777777" w:rsidR="00B4700B" w:rsidRPr="00B4700B" w:rsidRDefault="00B4700B" w:rsidP="00B4700B">
      <w:pPr>
        <w:ind w:firstLine="0"/>
        <w:rPr>
          <w:rFonts w:ascii="Palatino Linotype" w:hAnsi="Palatino Linotype"/>
          <w:b/>
          <w:bCs/>
          <w:sz w:val="20"/>
          <w:szCs w:val="20"/>
        </w:rPr>
      </w:pPr>
      <w:r w:rsidRPr="00B4700B">
        <w:rPr>
          <w:rFonts w:ascii="Palatino Linotype" w:hAnsi="Palatino Linotype"/>
          <w:b/>
          <w:bCs/>
          <w:sz w:val="20"/>
          <w:szCs w:val="20"/>
        </w:rPr>
        <w:t>Marcelo C. S. Bandoria, Hugo T. Seixas, Marcos R. Rosa, Paulo G. Molin, Alfredo P. Queiroz</w:t>
      </w:r>
    </w:p>
    <w:p w14:paraId="5F01C2D3" w14:textId="77777777" w:rsidR="00B4700B" w:rsidRPr="00B4700B" w:rsidRDefault="00B4700B" w:rsidP="00B4700B">
      <w:pPr>
        <w:ind w:firstLine="0"/>
        <w:rPr>
          <w:rFonts w:ascii="Palatino Linotype" w:hAnsi="Palatino Linotype"/>
          <w:b/>
          <w:bCs/>
          <w:sz w:val="20"/>
          <w:szCs w:val="20"/>
          <w:lang w:val="en-US"/>
        </w:rPr>
      </w:pPr>
      <w:r w:rsidRPr="00B4700B">
        <w:rPr>
          <w:rFonts w:ascii="Palatino Linotype" w:hAnsi="Palatino Linotype"/>
          <w:b/>
          <w:bCs/>
          <w:sz w:val="20"/>
          <w:szCs w:val="20"/>
          <w:lang w:val="en-US"/>
        </w:rPr>
        <w:t>Correspondence: marcelo.bandoria@usp.br</w:t>
      </w:r>
    </w:p>
    <w:p w14:paraId="619BF749" w14:textId="77777777" w:rsidR="00B4700B" w:rsidRPr="00B4700B" w:rsidRDefault="00B4700B" w:rsidP="00B4700B">
      <w:pPr>
        <w:ind w:firstLine="0"/>
        <w:rPr>
          <w:rFonts w:ascii="Palatino Linotype" w:hAnsi="Palatino Linotype"/>
          <w:b/>
          <w:bCs/>
          <w:sz w:val="20"/>
          <w:szCs w:val="20"/>
          <w:lang w:val="en-US"/>
        </w:rPr>
      </w:pPr>
    </w:p>
    <w:p w14:paraId="376A952B" w14:textId="77777777" w:rsidR="00B4700B" w:rsidRPr="00B4700B" w:rsidRDefault="00B4700B" w:rsidP="00B4700B">
      <w:pPr>
        <w:ind w:firstLine="0"/>
        <w:rPr>
          <w:rFonts w:ascii="Palatino Linotype" w:hAnsi="Palatino Linotype"/>
          <w:sz w:val="20"/>
          <w:szCs w:val="20"/>
          <w:lang w:val="en-US"/>
        </w:rPr>
      </w:pPr>
      <w:r w:rsidRPr="00B4700B">
        <w:rPr>
          <w:rFonts w:ascii="Palatino Linotype" w:hAnsi="Palatino Linotype"/>
          <w:sz w:val="20"/>
          <w:szCs w:val="20"/>
          <w:lang w:val="en-US"/>
        </w:rPr>
        <w:t>Journal: Forests</w:t>
      </w:r>
    </w:p>
    <w:p w14:paraId="0EE970CF" w14:textId="77777777" w:rsidR="00B4700B" w:rsidRPr="00B4700B" w:rsidRDefault="00B4700B" w:rsidP="00B4700B">
      <w:pPr>
        <w:ind w:firstLine="0"/>
        <w:rPr>
          <w:rFonts w:ascii="Palatino Linotype" w:hAnsi="Palatino Linotype"/>
          <w:sz w:val="20"/>
          <w:szCs w:val="20"/>
          <w:lang w:val="en-US"/>
        </w:rPr>
      </w:pPr>
      <w:r w:rsidRPr="00B4700B">
        <w:rPr>
          <w:rFonts w:ascii="Palatino Linotype" w:hAnsi="Palatino Linotype"/>
          <w:sz w:val="20"/>
          <w:szCs w:val="20"/>
          <w:lang w:val="en-US"/>
        </w:rPr>
        <w:t>Manuscript ID: forests-4346855</w:t>
      </w:r>
    </w:p>
    <w:p w14:paraId="2C99750A" w14:textId="77777777" w:rsidR="00B4700B" w:rsidRPr="00B4700B" w:rsidRDefault="00B4700B" w:rsidP="00B4700B">
      <w:pPr>
        <w:ind w:firstLine="0"/>
        <w:rPr>
          <w:rFonts w:ascii="Palatino Linotype" w:hAnsi="Palatino Linotype"/>
          <w:sz w:val="20"/>
          <w:szCs w:val="20"/>
          <w:lang w:val="en-US"/>
        </w:rPr>
      </w:pPr>
    </w:p>
    <w:p w14:paraId="3D0A12A9" w14:textId="77777777" w:rsidR="00B4700B" w:rsidRDefault="00B4700B" w:rsidP="00B4700B">
      <w:pPr>
        <w:ind w:firstLine="708"/>
        <w:rPr>
          <w:rFonts w:ascii="Palatino Linotype" w:hAnsi="Palatino Linotype"/>
          <w:sz w:val="20"/>
          <w:szCs w:val="20"/>
          <w:lang w:val="en-US"/>
        </w:rPr>
      </w:pPr>
      <w:r w:rsidRPr="00B4700B">
        <w:rPr>
          <w:rFonts w:ascii="Palatino Linotype" w:hAnsi="Palatino Linotype"/>
          <w:sz w:val="20"/>
          <w:szCs w:val="20"/>
          <w:lang w:val="en-US"/>
        </w:rPr>
        <w:t>This supplementary material provides additional methodological details, quality-control information, statistical outputs, and supporting figures and tables associated with the manuscript</w:t>
      </w:r>
      <w:r>
        <w:rPr>
          <w:rFonts w:ascii="Palatino Linotype" w:hAnsi="Palatino Linotype"/>
          <w:sz w:val="20"/>
          <w:szCs w:val="20"/>
          <w:lang w:val="en-US"/>
        </w:rPr>
        <w:t>.</w:t>
      </w:r>
    </w:p>
    <w:p w14:paraId="557FC09C" w14:textId="10FF8BAC" w:rsidR="00495857" w:rsidRPr="001A4D84" w:rsidRDefault="00F559CB" w:rsidP="00B4700B">
      <w:pPr>
        <w:ind w:firstLine="708"/>
        <w:rPr>
          <w:rFonts w:ascii="Palatino Linotype" w:hAnsi="Palatino Linotype"/>
          <w:sz w:val="20"/>
          <w:szCs w:val="20"/>
          <w:lang w:val="en-US"/>
        </w:rPr>
      </w:pPr>
      <w:r w:rsidRPr="001A4D84">
        <w:rPr>
          <w:rFonts w:ascii="Palatino Linotype" w:hAnsi="Palatino Linotype"/>
          <w:sz w:val="20"/>
          <w:szCs w:val="20"/>
          <w:lang w:val="en-US"/>
        </w:rPr>
        <w:t xml:space="preserve">Specifically, it documents (i) the polygon delineation workflow used to identify old-growth candidate forests, (ii) the visual QA/QC procedure adopted to verify polygon homogeneity, (iii) the quality-control (QC) and acquisition scenarios used to test the stability of GEDI-based inference, and (iv) expanded details on bootstrap resampling and spatial autocorrelation analysis. It also reports collinearity diagnostics among GEDI-derived structural metrics and summarizes the sensitivity of polygon-level separability to alternative QC and acquisition subsets. </w:t>
      </w:r>
      <w:r w:rsidR="00783D1D" w:rsidRPr="00783D1D">
        <w:rPr>
          <w:rFonts w:ascii="Palatino Linotype" w:hAnsi="Palatino Linotype"/>
          <w:sz w:val="20"/>
          <w:szCs w:val="20"/>
          <w:lang w:val="en-US"/>
        </w:rPr>
        <w:t>Complete scenario-wise outputs, including full correlation tables, sample-size logs, Dunn pairwise results, and effect-size deltas relative to the baseline scenario, are available in the public Zenodo repository listed in the Data Availability Statement.</w:t>
      </w:r>
      <w:r w:rsidR="00783D1D">
        <w:rPr>
          <w:rFonts w:ascii="Palatino Linotype" w:hAnsi="Palatino Linotype"/>
          <w:sz w:val="20"/>
          <w:szCs w:val="20"/>
          <w:lang w:val="en-US"/>
        </w:rPr>
        <w:t xml:space="preserve"> </w:t>
      </w:r>
      <w:r w:rsidR="004D5BE1" w:rsidRPr="001A4D84">
        <w:rPr>
          <w:rFonts w:ascii="Palatino Linotype" w:hAnsi="Palatino Linotype"/>
          <w:sz w:val="20"/>
          <w:szCs w:val="20"/>
          <w:lang w:val="en-US"/>
        </w:rPr>
        <w:t>For clarity, IBGE and MapBiomas were used only in the polygon delineation workflow as ancillary classificatory and land-cover datasets, respectively, whereas all structural metrics analyzed in the study were derived directly from GEDI.</w:t>
      </w:r>
    </w:p>
    <w:p w14:paraId="0A777F51" w14:textId="19D26BD4" w:rsidR="00495857" w:rsidRDefault="005B7D65" w:rsidP="00B4700B">
      <w:pPr>
        <w:ind w:firstLine="708"/>
        <w:rPr>
          <w:rFonts w:ascii="Palatino Linotype" w:hAnsi="Palatino Linotype"/>
          <w:sz w:val="20"/>
          <w:szCs w:val="20"/>
          <w:lang w:val="en-US"/>
        </w:rPr>
      </w:pPr>
      <w:r w:rsidRPr="001A4D84">
        <w:rPr>
          <w:rFonts w:ascii="Palatino Linotype" w:hAnsi="Palatino Linotype"/>
          <w:sz w:val="20"/>
          <w:szCs w:val="20"/>
          <w:lang w:val="en-US"/>
        </w:rPr>
        <w:t xml:space="preserve">The complete repository, including the analytical dataset, spatial files, R scripts, metadata, reproducible outputs, and </w:t>
      </w:r>
      <w:r w:rsidR="00783D1D">
        <w:rPr>
          <w:rFonts w:ascii="Palatino Linotype" w:hAnsi="Palatino Linotype"/>
          <w:sz w:val="20"/>
          <w:szCs w:val="20"/>
          <w:lang w:val="en-US"/>
        </w:rPr>
        <w:t>s</w:t>
      </w:r>
      <w:r w:rsidRPr="001A4D84">
        <w:rPr>
          <w:rFonts w:ascii="Palatino Linotype" w:hAnsi="Palatino Linotype"/>
          <w:sz w:val="20"/>
          <w:szCs w:val="20"/>
          <w:lang w:val="en-US"/>
        </w:rPr>
        <w:t>upplementary</w:t>
      </w:r>
      <w:r w:rsidR="00783D1D">
        <w:rPr>
          <w:rFonts w:ascii="Palatino Linotype" w:hAnsi="Palatino Linotype"/>
          <w:sz w:val="20"/>
          <w:szCs w:val="20"/>
          <w:lang w:val="en-US"/>
        </w:rPr>
        <w:t xml:space="preserve"> outputs, </w:t>
      </w:r>
      <w:r w:rsidRPr="001A4D84">
        <w:rPr>
          <w:rFonts w:ascii="Palatino Linotype" w:hAnsi="Palatino Linotype"/>
          <w:sz w:val="20"/>
          <w:szCs w:val="20"/>
          <w:lang w:val="en-US"/>
        </w:rPr>
        <w:t xml:space="preserve">is archived on Zenodo at </w:t>
      </w:r>
      <w:hyperlink r:id="rId11" w:history="1">
        <w:r w:rsidRPr="001A4D84">
          <w:rPr>
            <w:rStyle w:val="Hyperlink"/>
            <w:rFonts w:ascii="Palatino Linotype" w:hAnsi="Palatino Linotype"/>
            <w:sz w:val="20"/>
            <w:szCs w:val="20"/>
            <w:lang w:val="en-US"/>
          </w:rPr>
          <w:t>https://doi.org/10.5281/zen</w:t>
        </w:r>
        <w:r w:rsidRPr="001A4D84">
          <w:rPr>
            <w:rStyle w:val="Hyperlink"/>
            <w:rFonts w:ascii="Palatino Linotype" w:hAnsi="Palatino Linotype"/>
            <w:sz w:val="20"/>
            <w:szCs w:val="20"/>
            <w:lang w:val="en-US"/>
          </w:rPr>
          <w:t>o</w:t>
        </w:r>
        <w:r w:rsidRPr="001A4D84">
          <w:rPr>
            <w:rStyle w:val="Hyperlink"/>
            <w:rFonts w:ascii="Palatino Linotype" w:hAnsi="Palatino Linotype"/>
            <w:sz w:val="20"/>
            <w:szCs w:val="20"/>
            <w:lang w:val="en-US"/>
          </w:rPr>
          <w:t>do.20403257</w:t>
        </w:r>
      </w:hyperlink>
      <w:r w:rsidRPr="001A4D84">
        <w:rPr>
          <w:rFonts w:ascii="Palatino Linotype" w:hAnsi="Palatino Linotype"/>
          <w:sz w:val="20"/>
          <w:szCs w:val="20"/>
          <w:lang w:val="en-US"/>
        </w:rPr>
        <w:t xml:space="preserve"> and available through the public GitHub repository at </w:t>
      </w:r>
      <w:hyperlink r:id="rId12" w:history="1">
        <w:r w:rsidRPr="001A4D84">
          <w:rPr>
            <w:rStyle w:val="Hyperlink"/>
            <w:rFonts w:ascii="Palatino Linotype" w:hAnsi="Palatino Linotype"/>
            <w:sz w:val="20"/>
            <w:szCs w:val="20"/>
            <w:lang w:val="en-US"/>
          </w:rPr>
          <w:t>https://github.com/marcelobandoria</w:t>
        </w:r>
        <w:r w:rsidRPr="001A4D84">
          <w:rPr>
            <w:rStyle w:val="Hyperlink"/>
            <w:rFonts w:ascii="Palatino Linotype" w:hAnsi="Palatino Linotype"/>
            <w:sz w:val="20"/>
            <w:szCs w:val="20"/>
            <w:lang w:val="en-US"/>
          </w:rPr>
          <w:t>/</w:t>
        </w:r>
        <w:r w:rsidRPr="001A4D84">
          <w:rPr>
            <w:rStyle w:val="Hyperlink"/>
            <w:rFonts w:ascii="Palatino Linotype" w:hAnsi="Palatino Linotype"/>
            <w:sz w:val="20"/>
            <w:szCs w:val="20"/>
            <w:lang w:val="en-US"/>
          </w:rPr>
          <w:t>GEDI_Atlantic_Forest_MDPI_repository</w:t>
        </w:r>
      </w:hyperlink>
      <w:r w:rsidRPr="001A4D84">
        <w:rPr>
          <w:rFonts w:ascii="Palatino Linotype" w:hAnsi="Palatino Linotype"/>
          <w:sz w:val="20"/>
          <w:szCs w:val="20"/>
          <w:lang w:val="en-US"/>
        </w:rPr>
        <w:t>.</w:t>
      </w:r>
    </w:p>
    <w:p w14:paraId="33064471" w14:textId="689A4CF4" w:rsidR="00992A48" w:rsidRPr="001A4D84" w:rsidRDefault="00783D1D" w:rsidP="00783D1D">
      <w:pPr>
        <w:ind w:firstLine="708"/>
        <w:rPr>
          <w:rFonts w:ascii="Palatino Linotype" w:hAnsi="Palatino Linotype"/>
          <w:b/>
          <w:bCs/>
          <w:sz w:val="20"/>
          <w:szCs w:val="20"/>
          <w:lang w:val="en-US"/>
        </w:rPr>
      </w:pPr>
      <w:r w:rsidRPr="00783D1D">
        <w:rPr>
          <w:rFonts w:ascii="Palatino Linotype" w:hAnsi="Palatino Linotype"/>
          <w:sz w:val="20"/>
          <w:szCs w:val="20"/>
          <w:lang w:val="en-US"/>
        </w:rPr>
        <w:t>The supplementary material is organized as follows: Supplementary Methods S1–S4, Supplementary Figures S1–S2, and Supplementary Tables S1a–S1b, S2a–S2b, S3a–S3b, and S4. Complete scenario-wise outputs and reproducible processing files are provided in the public Zenodo repository.</w:t>
      </w:r>
      <w:r w:rsidR="00992A48" w:rsidRPr="001A4D84">
        <w:rPr>
          <w:rFonts w:ascii="Palatino Linotype" w:hAnsi="Palatino Linotype"/>
          <w:b/>
          <w:bCs/>
          <w:sz w:val="20"/>
          <w:szCs w:val="20"/>
          <w:lang w:val="en-US"/>
        </w:rPr>
        <w:br w:type="page"/>
      </w:r>
    </w:p>
    <w:p w14:paraId="6810B92A" w14:textId="794E4DCB" w:rsidR="00F559CB" w:rsidRPr="00B4700B" w:rsidRDefault="00B4700B" w:rsidP="00F559CB">
      <w:pPr>
        <w:spacing w:after="160"/>
        <w:ind w:firstLine="0"/>
        <w:rPr>
          <w:rFonts w:ascii="Palatino Linotype" w:hAnsi="Palatino Linotype"/>
          <w:lang w:val="en-US"/>
        </w:rPr>
      </w:pPr>
      <w:r>
        <w:rPr>
          <w:rFonts w:ascii="Palatino Linotype" w:hAnsi="Palatino Linotype"/>
          <w:b/>
          <w:bCs/>
          <w:lang w:val="en-US"/>
        </w:rPr>
        <w:lastRenderedPageBreak/>
        <w:t xml:space="preserve">1. </w:t>
      </w:r>
      <w:r w:rsidR="00495857" w:rsidRPr="00B4700B">
        <w:rPr>
          <w:rFonts w:ascii="Palatino Linotype" w:hAnsi="Palatino Linotype"/>
          <w:b/>
          <w:bCs/>
          <w:lang w:val="en-US"/>
        </w:rPr>
        <w:t>Supplementary Methods</w:t>
      </w:r>
      <w:r w:rsidR="00495857" w:rsidRPr="00B4700B">
        <w:rPr>
          <w:rFonts w:ascii="Palatino Linotype" w:hAnsi="Palatino Linotype"/>
          <w:lang w:val="en-US"/>
        </w:rPr>
        <w:t xml:space="preserve"> </w:t>
      </w:r>
    </w:p>
    <w:p w14:paraId="3BE1DBCF" w14:textId="77777777" w:rsidR="00C9136F" w:rsidRDefault="00C9136F" w:rsidP="00F559CB">
      <w:pPr>
        <w:spacing w:after="160"/>
        <w:ind w:firstLine="0"/>
        <w:rPr>
          <w:rFonts w:ascii="Palatino Linotype" w:hAnsi="Palatino Linotype"/>
          <w:sz w:val="20"/>
          <w:szCs w:val="20"/>
          <w:lang w:val="en-US"/>
        </w:rPr>
      </w:pPr>
    </w:p>
    <w:p w14:paraId="5C04AC9F" w14:textId="2DB96198" w:rsidR="00495857" w:rsidRPr="001A4D84" w:rsidRDefault="00F559CB" w:rsidP="00F559CB">
      <w:pPr>
        <w:spacing w:after="160"/>
        <w:ind w:firstLine="0"/>
        <w:rPr>
          <w:rFonts w:ascii="Palatino Linotype" w:hAnsi="Palatino Linotype"/>
          <w:sz w:val="20"/>
          <w:szCs w:val="20"/>
          <w:lang w:val="en-US"/>
        </w:rPr>
      </w:pPr>
      <w:r w:rsidRPr="001A4D84">
        <w:rPr>
          <w:rFonts w:ascii="Palatino Linotype" w:hAnsi="Palatino Linotype"/>
          <w:sz w:val="20"/>
          <w:szCs w:val="20"/>
          <w:lang w:val="en-US"/>
        </w:rPr>
        <w:t>S</w:t>
      </w:r>
      <w:r w:rsidR="000B6D41" w:rsidRPr="001A4D84">
        <w:rPr>
          <w:rFonts w:ascii="Palatino Linotype" w:hAnsi="Palatino Linotype"/>
          <w:sz w:val="20"/>
          <w:szCs w:val="20"/>
          <w:lang w:val="en-US"/>
        </w:rPr>
        <w:t>1</w:t>
      </w:r>
      <w:r w:rsidRPr="001A4D84">
        <w:rPr>
          <w:rFonts w:ascii="Palatino Linotype" w:hAnsi="Palatino Linotype"/>
          <w:sz w:val="20"/>
          <w:szCs w:val="20"/>
          <w:lang w:val="en-US"/>
        </w:rPr>
        <w:t xml:space="preserve">. </w:t>
      </w:r>
      <w:r w:rsidR="00495857" w:rsidRPr="001A4D84">
        <w:rPr>
          <w:rFonts w:ascii="Palatino Linotype" w:hAnsi="Palatino Linotype"/>
          <w:sz w:val="20"/>
          <w:szCs w:val="20"/>
          <w:lang w:val="en-US"/>
        </w:rPr>
        <w:t>Visual interpretation key</w:t>
      </w:r>
      <w:r w:rsidR="00B4700B">
        <w:rPr>
          <w:rFonts w:ascii="Palatino Linotype" w:hAnsi="Palatino Linotype"/>
          <w:sz w:val="20"/>
          <w:szCs w:val="20"/>
          <w:lang w:val="en-US"/>
        </w:rPr>
        <w:t xml:space="preserve"> for polygon QA/QC</w:t>
      </w:r>
    </w:p>
    <w:p w14:paraId="7F07227A" w14:textId="48BED917" w:rsidR="000A5380" w:rsidRPr="001A4D84" w:rsidRDefault="00783D1D" w:rsidP="00992A48">
      <w:pPr>
        <w:spacing w:after="160"/>
        <w:ind w:firstLine="708"/>
        <w:rPr>
          <w:rFonts w:ascii="Palatino Linotype" w:hAnsi="Palatino Linotype"/>
          <w:sz w:val="20"/>
          <w:szCs w:val="20"/>
          <w:lang w:val="en-US"/>
        </w:rPr>
      </w:pPr>
      <w:r w:rsidRPr="00783D1D">
        <w:rPr>
          <w:rFonts w:ascii="Palatino Linotype" w:hAnsi="Palatino Linotype"/>
          <w:sz w:val="20"/>
          <w:szCs w:val="20"/>
          <w:lang w:val="en-US"/>
        </w:rPr>
        <w:t>Figure 4 in the main manuscript presents the visual interpretation key used for polygon QA/QC based on CBERS-4A/WPM Level-4 pan-sharpened imagery (2 m).</w:t>
      </w:r>
      <w:r>
        <w:rPr>
          <w:rFonts w:ascii="Palatino Linotype" w:hAnsi="Palatino Linotype"/>
          <w:sz w:val="20"/>
          <w:szCs w:val="20"/>
          <w:lang w:val="en-US"/>
        </w:rPr>
        <w:t xml:space="preserve"> </w:t>
      </w:r>
      <w:r w:rsidR="000A5380" w:rsidRPr="001A4D84">
        <w:rPr>
          <w:rFonts w:ascii="Palatino Linotype" w:hAnsi="Palatino Linotype"/>
          <w:sz w:val="20"/>
          <w:szCs w:val="20"/>
          <w:lang w:val="en-US"/>
        </w:rPr>
        <w:t>Representative scenes were selected for each Atlantic Forest phytophysiognomy and visually interpreted to support both polygon verification and the interpretation key: Dense Ombrophilous Forest (DOF), 08 May 2023; Mixed Ombrophilous Forest (MOF), 11 October 2023; Seasonal Semideciduous Forest (SSdF), 16 October 2023; and Seasonal Deciduous Forest (SDF), 16 September 2024.</w:t>
      </w:r>
    </w:p>
    <w:p w14:paraId="5E47E6BA" w14:textId="141EB42F" w:rsidR="00F559CB" w:rsidRPr="001A4D84" w:rsidRDefault="000A5380" w:rsidP="00992A48">
      <w:pPr>
        <w:spacing w:after="160"/>
        <w:ind w:firstLine="708"/>
        <w:rPr>
          <w:rFonts w:ascii="Palatino Linotype" w:hAnsi="Palatino Linotype"/>
          <w:sz w:val="20"/>
          <w:szCs w:val="20"/>
          <w:lang w:val="en-US"/>
        </w:rPr>
      </w:pPr>
      <w:r w:rsidRPr="001A4D84">
        <w:rPr>
          <w:rFonts w:ascii="Palatino Linotype" w:hAnsi="Palatino Linotype"/>
          <w:sz w:val="20"/>
          <w:szCs w:val="20"/>
          <w:lang w:val="en-US"/>
        </w:rPr>
        <w:t xml:space="preserve">All scenes were processed using the WPM multispectral bands (0–4) and displayed as natural-color RGB composites with pan-sharpening (PAN fusion) to enhance spatial detail. Visual interpretation was performed at a scale of 1:5,000 and considered canopy texture and roughness, crown-size distribution, shadow patterns, within-patch heterogeneity (including gaps and edge influence), and visible evidence of recent anthropogenic disturbance. These criteria were used to support the exclusion of polygons showing recent clearings, roads, or strong edge intrusion </w:t>
      </w:r>
      <w:r w:rsidR="004D5BE1" w:rsidRPr="001A4D84">
        <w:rPr>
          <w:rFonts w:ascii="Palatino Linotype" w:hAnsi="Palatino Linotype"/>
          <w:sz w:val="20"/>
          <w:szCs w:val="20"/>
          <w:lang w:val="en-US"/>
        </w:rPr>
        <w:t xml:space="preserve">during QA/QC. </w:t>
      </w:r>
      <w:r w:rsidR="00783D1D" w:rsidRPr="00783D1D">
        <w:rPr>
          <w:rFonts w:ascii="Palatino Linotype" w:hAnsi="Palatino Linotype"/>
          <w:sz w:val="20"/>
          <w:szCs w:val="20"/>
          <w:lang w:val="en-US"/>
        </w:rPr>
        <w:t>Visual inspection was therefore used only to verify polygon integrity and recent disturbance signals, not to derive GEDI structural variables, validate GEDI-derived structural measurements, or serve as the primary basis for physiognomy attribution.</w:t>
      </w:r>
    </w:p>
    <w:p w14:paraId="15C53358" w14:textId="77777777" w:rsidR="000B6D41" w:rsidRPr="001A4D84" w:rsidRDefault="000B6D41" w:rsidP="000B6D41">
      <w:pPr>
        <w:spacing w:after="160"/>
        <w:ind w:firstLine="0"/>
        <w:rPr>
          <w:rFonts w:ascii="Palatino Linotype" w:hAnsi="Palatino Linotype"/>
          <w:sz w:val="20"/>
          <w:szCs w:val="20"/>
          <w:lang w:val="en-US"/>
        </w:rPr>
      </w:pPr>
    </w:p>
    <w:p w14:paraId="65484349" w14:textId="3BD5D7EF" w:rsidR="000B6D41" w:rsidRPr="001A4D84" w:rsidRDefault="000B6D41" w:rsidP="000B6D41">
      <w:pPr>
        <w:spacing w:after="160"/>
        <w:ind w:firstLine="0"/>
        <w:rPr>
          <w:rFonts w:ascii="Palatino Linotype" w:hAnsi="Palatino Linotype"/>
          <w:sz w:val="20"/>
          <w:szCs w:val="20"/>
          <w:lang w:val="en-US"/>
        </w:rPr>
      </w:pPr>
      <w:r w:rsidRPr="001A4D84">
        <w:rPr>
          <w:rFonts w:ascii="Palatino Linotype" w:hAnsi="Palatino Linotype"/>
          <w:sz w:val="20"/>
          <w:szCs w:val="20"/>
          <w:lang w:val="en-US"/>
        </w:rPr>
        <w:t>S2. Polygon delineation</w:t>
      </w:r>
      <w:r w:rsidR="00B4700B">
        <w:rPr>
          <w:rFonts w:ascii="Palatino Linotype" w:hAnsi="Palatino Linotype"/>
          <w:sz w:val="20"/>
          <w:szCs w:val="20"/>
          <w:lang w:val="en-US"/>
        </w:rPr>
        <w:t xml:space="preserve"> and filtering</w:t>
      </w:r>
      <w:r w:rsidRPr="001A4D84">
        <w:rPr>
          <w:rFonts w:ascii="Palatino Linotype" w:hAnsi="Palatino Linotype"/>
          <w:sz w:val="20"/>
          <w:szCs w:val="20"/>
          <w:lang w:val="en-US"/>
        </w:rPr>
        <w:t xml:space="preserve"> workflow</w:t>
      </w:r>
    </w:p>
    <w:p w14:paraId="67CB32DE" w14:textId="77777777" w:rsidR="00C9136F" w:rsidRDefault="00C9136F" w:rsidP="00C9136F">
      <w:pPr>
        <w:spacing w:after="160"/>
        <w:ind w:firstLine="708"/>
        <w:rPr>
          <w:rFonts w:ascii="Palatino Linotype" w:hAnsi="Palatino Linotype"/>
          <w:sz w:val="20"/>
          <w:szCs w:val="20"/>
          <w:lang w:val="en-US"/>
        </w:rPr>
      </w:pPr>
      <w:r w:rsidRPr="00C9136F">
        <w:rPr>
          <w:rFonts w:ascii="Palatino Linotype" w:hAnsi="Palatino Linotype"/>
          <w:sz w:val="20"/>
          <w:szCs w:val="20"/>
          <w:lang w:val="en-US"/>
        </w:rPr>
        <w:t>Old-growth candidate polygons were delineated through a GIS workflow combining the official IBGE phytophysiognomic framework and the corresponding 1:250,000 vegetation layer for physiognomy attribution, together with the MapBiomas annual land-cover and land-use series (Collection 9) for temporal stability screening. Temporal stability was assessed using the MapBiomas Forest formation class from 2009 to 2023. Polygons were assigned to a single phytophysiognomy using a majority-overlap rule (≥80%) and were required to show high internal homogeneity (≥90% Forest formation in 2023), no transition to anthropogenic classes during the screening period, a minimum area of 1.045 ha, and a non-empty core area after internal buffering.</w:t>
      </w:r>
    </w:p>
    <w:p w14:paraId="35300E60" w14:textId="77777777" w:rsidR="00C9136F" w:rsidRDefault="00C9136F" w:rsidP="00C9136F">
      <w:pPr>
        <w:spacing w:after="160"/>
        <w:ind w:firstLine="708"/>
        <w:rPr>
          <w:rFonts w:ascii="Palatino Linotype" w:hAnsi="Palatino Linotype"/>
          <w:sz w:val="20"/>
          <w:szCs w:val="20"/>
          <w:lang w:val="en-US"/>
        </w:rPr>
      </w:pPr>
      <w:r w:rsidRPr="00C9136F">
        <w:rPr>
          <w:rFonts w:ascii="Palatino Linotype" w:hAnsi="Palatino Linotype"/>
          <w:sz w:val="20"/>
          <w:szCs w:val="20"/>
          <w:lang w:val="en-US"/>
        </w:rPr>
        <w:t xml:space="preserve">The IBGE layer was used only for regional phytophysiognomic attribution, whereas MapBiomas was used for forest masking, temporal stability screening, and internal homogeneity </w:t>
      </w:r>
      <w:r w:rsidRPr="00C9136F">
        <w:rPr>
          <w:rFonts w:ascii="Palatino Linotype" w:hAnsi="Palatino Linotype"/>
          <w:sz w:val="20"/>
          <w:szCs w:val="20"/>
          <w:lang w:val="en-US"/>
        </w:rPr>
        <w:lastRenderedPageBreak/>
        <w:t>assessment. IBGE and MapBiomas were therefore used only as ancillary classificatory and land-cover datasets in the sampling workflow, whereas all structural metrics analyzed in the study were derived directly from GEDI. Neither dataset was used to calibrate or validate GEDI structural measurements or footprint-level structural metrics. Forest age was not directly estimated in the field. Therefore, comparability among phytophysiognomies was based on the same temporal-stability and spatial-consistency criteria applied uniformly to all candidate polygons.</w:t>
      </w:r>
    </w:p>
    <w:p w14:paraId="79DBCEFA" w14:textId="59949BF6" w:rsidR="00B4700B" w:rsidRDefault="00C9136F" w:rsidP="00C9136F">
      <w:pPr>
        <w:spacing w:after="160"/>
        <w:ind w:firstLine="708"/>
        <w:rPr>
          <w:rFonts w:ascii="Palatino Linotype" w:hAnsi="Palatino Linotype"/>
          <w:sz w:val="20"/>
          <w:szCs w:val="20"/>
          <w:lang w:val="en-US"/>
        </w:rPr>
      </w:pPr>
      <w:r w:rsidRPr="00C9136F">
        <w:rPr>
          <w:rFonts w:ascii="Palatino Linotype" w:hAnsi="Palatino Linotype"/>
          <w:sz w:val="20"/>
          <w:szCs w:val="20"/>
          <w:lang w:val="en-US"/>
        </w:rPr>
        <w:t>Polygon consistency was further controlled by visual quality assurance/quality control using CBERS-4A/WPM imagery and by the 60-m internal edge buffer applied in the main analysis. These procedures were used to reduce the influence of recent disturbance, boundary mixing, local edge effects, and potential geolocation uncertainty near polygon limits. GEDI footprints were treated as subsamples within polygons, and polygon-level summaries were used as the primary unit of inference in the main analyses. This design was adopted to reduce within-polygon dependence and to align the analytical unit with the ecological unit of comparison in a fragmented landscape.</w:t>
      </w:r>
    </w:p>
    <w:p w14:paraId="1FA97D16" w14:textId="77777777" w:rsidR="00B4700B" w:rsidRDefault="00B4700B" w:rsidP="00F559CB">
      <w:pPr>
        <w:spacing w:after="160"/>
        <w:ind w:firstLine="0"/>
        <w:rPr>
          <w:rFonts w:ascii="Palatino Linotype" w:hAnsi="Palatino Linotype"/>
          <w:sz w:val="20"/>
          <w:szCs w:val="20"/>
          <w:lang w:val="en-US"/>
        </w:rPr>
      </w:pPr>
    </w:p>
    <w:p w14:paraId="29286BF6" w14:textId="1AAA37F7" w:rsidR="00F559CB" w:rsidRPr="001A4D84" w:rsidRDefault="00495857" w:rsidP="00F559CB">
      <w:pPr>
        <w:spacing w:after="160"/>
        <w:ind w:firstLine="0"/>
        <w:rPr>
          <w:rFonts w:ascii="Palatino Linotype" w:hAnsi="Palatino Linotype"/>
          <w:sz w:val="20"/>
          <w:szCs w:val="20"/>
          <w:lang w:val="en-US"/>
        </w:rPr>
      </w:pPr>
      <w:r w:rsidRPr="001A4D84">
        <w:rPr>
          <w:rFonts w:ascii="Palatino Linotype" w:hAnsi="Palatino Linotype"/>
          <w:sz w:val="20"/>
          <w:szCs w:val="20"/>
          <w:lang w:val="en-US"/>
        </w:rPr>
        <w:t>S3</w:t>
      </w:r>
      <w:r w:rsidR="00F559CB" w:rsidRPr="001A4D84">
        <w:rPr>
          <w:rFonts w:ascii="Palatino Linotype" w:hAnsi="Palatino Linotype"/>
          <w:sz w:val="20"/>
          <w:szCs w:val="20"/>
          <w:lang w:val="en-US"/>
        </w:rPr>
        <w:t xml:space="preserve">. </w:t>
      </w:r>
      <w:r w:rsidRPr="001A4D84">
        <w:rPr>
          <w:rFonts w:ascii="Palatino Linotype" w:hAnsi="Palatino Linotype"/>
          <w:sz w:val="20"/>
          <w:szCs w:val="20"/>
          <w:lang w:val="en-US"/>
        </w:rPr>
        <w:t xml:space="preserve">GEDI </w:t>
      </w:r>
      <w:r w:rsidR="00B4700B">
        <w:rPr>
          <w:rFonts w:ascii="Palatino Linotype" w:hAnsi="Palatino Linotype"/>
          <w:sz w:val="20"/>
          <w:szCs w:val="20"/>
          <w:lang w:val="en-US"/>
        </w:rPr>
        <w:t>quality-control</w:t>
      </w:r>
      <w:r w:rsidR="00F559CB" w:rsidRPr="001A4D84">
        <w:rPr>
          <w:rFonts w:ascii="Palatino Linotype" w:hAnsi="Palatino Linotype"/>
          <w:sz w:val="20"/>
          <w:szCs w:val="20"/>
          <w:lang w:val="en-US"/>
        </w:rPr>
        <w:t xml:space="preserve"> </w:t>
      </w:r>
      <w:r w:rsidR="00E169D5" w:rsidRPr="001A4D84">
        <w:rPr>
          <w:rFonts w:ascii="Palatino Linotype" w:hAnsi="Palatino Linotype"/>
          <w:sz w:val="20"/>
          <w:szCs w:val="20"/>
          <w:lang w:val="en-US"/>
        </w:rPr>
        <w:t xml:space="preserve">and </w:t>
      </w:r>
      <w:r w:rsidR="00F559CB" w:rsidRPr="001A4D84">
        <w:rPr>
          <w:rFonts w:ascii="Palatino Linotype" w:hAnsi="Palatino Linotype"/>
          <w:sz w:val="20"/>
          <w:szCs w:val="20"/>
          <w:lang w:val="en-US"/>
        </w:rPr>
        <w:t>acquisition scenarios</w:t>
      </w:r>
    </w:p>
    <w:p w14:paraId="1BD06A8D" w14:textId="4CDCB608" w:rsidR="00F559CB" w:rsidRPr="001A4D84" w:rsidRDefault="00F559CB" w:rsidP="00992A48">
      <w:pPr>
        <w:spacing w:after="160"/>
        <w:ind w:firstLine="708"/>
        <w:rPr>
          <w:rFonts w:ascii="Palatino Linotype" w:hAnsi="Palatino Linotype"/>
          <w:sz w:val="20"/>
          <w:szCs w:val="20"/>
          <w:lang w:val="en-US"/>
        </w:rPr>
      </w:pPr>
      <w:r w:rsidRPr="001A4D84">
        <w:rPr>
          <w:rFonts w:ascii="Palatino Linotype" w:hAnsi="Palatino Linotype"/>
          <w:sz w:val="20"/>
          <w:szCs w:val="20"/>
          <w:lang w:val="en-US"/>
        </w:rPr>
        <w:t xml:space="preserve">Polygon-level inference was evaluated under alternative QC and acquisition subsets, including baseline QC, sensitivity thresholds, strong beams only, night-only acquisitions, and low-uncertainty AGBD subsets. </w:t>
      </w:r>
      <w:r w:rsidR="00C9136F" w:rsidRPr="00C9136F">
        <w:rPr>
          <w:rFonts w:ascii="Palatino Linotype" w:hAnsi="Palatino Linotype"/>
          <w:sz w:val="20"/>
          <w:szCs w:val="20"/>
          <w:lang w:val="en-US"/>
        </w:rPr>
        <w:t>Redundant thresholds producing identical retained sample sizes were collapsed for compact reporting. These scenarios were designed to test the robustness of GEDI-derived polygon-level structural inference under plausible filtering choices. Complete scenario definitions, redundancy mapping, and processing outputs are available in the public Zenodo repository.</w:t>
      </w:r>
    </w:p>
    <w:p w14:paraId="05EFF9A4" w14:textId="77777777" w:rsidR="00B4700B" w:rsidRDefault="00B4700B" w:rsidP="00F559CB">
      <w:pPr>
        <w:spacing w:after="160"/>
        <w:ind w:firstLine="0"/>
        <w:rPr>
          <w:rFonts w:ascii="Palatino Linotype" w:hAnsi="Palatino Linotype"/>
          <w:sz w:val="20"/>
          <w:szCs w:val="20"/>
          <w:lang w:val="en-US"/>
        </w:rPr>
      </w:pPr>
    </w:p>
    <w:p w14:paraId="729EF871" w14:textId="4CB2E45F" w:rsidR="00495857" w:rsidRPr="001A4D84" w:rsidRDefault="00495857" w:rsidP="00F559CB">
      <w:pPr>
        <w:spacing w:after="160"/>
        <w:ind w:firstLine="0"/>
        <w:rPr>
          <w:rFonts w:ascii="Palatino Linotype" w:hAnsi="Palatino Linotype"/>
          <w:sz w:val="20"/>
          <w:szCs w:val="20"/>
          <w:lang w:val="en-US"/>
        </w:rPr>
      </w:pPr>
      <w:r w:rsidRPr="001A4D84">
        <w:rPr>
          <w:rFonts w:ascii="Palatino Linotype" w:hAnsi="Palatino Linotype"/>
          <w:sz w:val="20"/>
          <w:szCs w:val="20"/>
          <w:lang w:val="en-US"/>
        </w:rPr>
        <w:t>S4</w:t>
      </w:r>
      <w:r w:rsidR="00F559CB" w:rsidRPr="001A4D84">
        <w:rPr>
          <w:rFonts w:ascii="Palatino Linotype" w:hAnsi="Palatino Linotype"/>
          <w:sz w:val="20"/>
          <w:szCs w:val="20"/>
          <w:lang w:val="en-US"/>
        </w:rPr>
        <w:t>. Bootstrap and sp</w:t>
      </w:r>
      <w:r w:rsidRPr="001A4D84">
        <w:rPr>
          <w:rFonts w:ascii="Palatino Linotype" w:hAnsi="Palatino Linotype"/>
          <w:sz w:val="20"/>
          <w:szCs w:val="20"/>
          <w:lang w:val="en-US"/>
        </w:rPr>
        <w:t xml:space="preserve">atial </w:t>
      </w:r>
      <w:r w:rsidR="00F559CB" w:rsidRPr="001A4D84">
        <w:rPr>
          <w:rFonts w:ascii="Palatino Linotype" w:hAnsi="Palatino Linotype"/>
          <w:sz w:val="20"/>
          <w:szCs w:val="20"/>
          <w:lang w:val="en-US"/>
        </w:rPr>
        <w:t>autocorrelation</w:t>
      </w:r>
      <w:r w:rsidRPr="001A4D84">
        <w:rPr>
          <w:rFonts w:ascii="Palatino Linotype" w:hAnsi="Palatino Linotype"/>
          <w:sz w:val="20"/>
          <w:szCs w:val="20"/>
          <w:lang w:val="en-US"/>
        </w:rPr>
        <w:t xml:space="preserve"> details</w:t>
      </w:r>
    </w:p>
    <w:p w14:paraId="5C20BAD5" w14:textId="0A0BD102" w:rsidR="00E169D5" w:rsidRPr="001A4D84" w:rsidRDefault="00F559CB" w:rsidP="00992A48">
      <w:pPr>
        <w:spacing w:after="160"/>
        <w:ind w:firstLine="708"/>
        <w:rPr>
          <w:rFonts w:ascii="Palatino Linotype" w:hAnsi="Palatino Linotype"/>
          <w:sz w:val="20"/>
          <w:szCs w:val="20"/>
          <w:lang w:val="en-US"/>
        </w:rPr>
      </w:pPr>
      <w:r w:rsidRPr="001A4D84">
        <w:rPr>
          <w:rFonts w:ascii="Palatino Linotype" w:hAnsi="Palatino Linotype"/>
          <w:sz w:val="20"/>
          <w:szCs w:val="20"/>
          <w:lang w:val="en-US"/>
        </w:rPr>
        <w:t>Bootstrap resampling of polygons was used to balance sample sizes among physiognomies. Residual spatial autocorrelation was assessed using Moran’s I on polygon-level residuals with an adaptive k-nearest-neighbor weights matrix.</w:t>
      </w:r>
      <w:r w:rsidR="00E244D1" w:rsidRPr="001A4D84">
        <w:rPr>
          <w:rFonts w:ascii="Palatino Linotype" w:hAnsi="Palatino Linotype"/>
          <w:sz w:val="20"/>
          <w:szCs w:val="20"/>
          <w:lang w:val="en-US"/>
        </w:rPr>
        <w:t xml:space="preserve"> These procedures were applied to polygon-level GEDI summaries used as the primary unit of inference.</w:t>
      </w:r>
    </w:p>
    <w:p w14:paraId="7EE4A27A" w14:textId="77777777" w:rsidR="0062332D" w:rsidRPr="001A4D84" w:rsidRDefault="0062332D">
      <w:pPr>
        <w:spacing w:after="160" w:line="259" w:lineRule="auto"/>
        <w:ind w:firstLine="0"/>
        <w:jc w:val="left"/>
        <w:rPr>
          <w:rFonts w:ascii="Palatino Linotype" w:hAnsi="Palatino Linotype"/>
          <w:b/>
          <w:bCs/>
          <w:sz w:val="20"/>
          <w:szCs w:val="20"/>
          <w:lang w:val="en-US"/>
        </w:rPr>
      </w:pPr>
      <w:r w:rsidRPr="001A4D84">
        <w:rPr>
          <w:rFonts w:ascii="Palatino Linotype" w:hAnsi="Palatino Linotype"/>
          <w:b/>
          <w:bCs/>
          <w:sz w:val="20"/>
          <w:szCs w:val="20"/>
          <w:lang w:val="en-US"/>
        </w:rPr>
        <w:br w:type="page"/>
      </w:r>
    </w:p>
    <w:p w14:paraId="736E5027" w14:textId="60C8075D" w:rsidR="00F559CB" w:rsidRPr="00B4700B" w:rsidRDefault="00B4700B" w:rsidP="00F559CB">
      <w:pPr>
        <w:spacing w:after="160"/>
        <w:ind w:firstLine="0"/>
        <w:rPr>
          <w:rFonts w:ascii="Palatino Linotype" w:hAnsi="Palatino Linotype"/>
          <w:b/>
          <w:bCs/>
          <w:sz w:val="32"/>
          <w:szCs w:val="32"/>
          <w:lang w:val="en-US"/>
        </w:rPr>
      </w:pPr>
      <w:r>
        <w:rPr>
          <w:rFonts w:ascii="Palatino Linotype" w:hAnsi="Palatino Linotype"/>
          <w:b/>
          <w:bCs/>
          <w:lang w:val="en-US"/>
        </w:rPr>
        <w:lastRenderedPageBreak/>
        <w:t xml:space="preserve">2. </w:t>
      </w:r>
      <w:r w:rsidR="00F559CB" w:rsidRPr="00B4700B">
        <w:rPr>
          <w:rFonts w:ascii="Palatino Linotype" w:hAnsi="Palatino Linotype"/>
          <w:b/>
          <w:bCs/>
          <w:lang w:val="en-US"/>
        </w:rPr>
        <w:t>Supplementary Figures</w:t>
      </w:r>
    </w:p>
    <w:p w14:paraId="5827F412" w14:textId="77777777" w:rsidR="006C5012" w:rsidRPr="001A4D84" w:rsidRDefault="006C5012" w:rsidP="00F559CB">
      <w:pPr>
        <w:ind w:firstLine="0"/>
        <w:rPr>
          <w:rFonts w:ascii="Palatino Linotype" w:hAnsi="Palatino Linotype"/>
          <w:lang w:val="en-US"/>
        </w:rPr>
      </w:pPr>
    </w:p>
    <w:p w14:paraId="6C45A45E" w14:textId="14740DE1" w:rsidR="006844B5" w:rsidRPr="00992A48" w:rsidRDefault="007E24A0" w:rsidP="00C813D2">
      <w:pPr>
        <w:ind w:firstLine="0"/>
        <w:jc w:val="center"/>
        <w:rPr>
          <w:rFonts w:ascii="Palatino Linotype" w:hAnsi="Palatino Linotype"/>
          <w:lang w:val="en-US"/>
        </w:rPr>
      </w:pPr>
      <w:r w:rsidRPr="00992A48">
        <w:rPr>
          <w:rFonts w:ascii="Palatino Linotype" w:hAnsi="Palatino Linotype"/>
          <w:noProof/>
          <w:lang w:val="en-US"/>
          <w14:ligatures w14:val="standardContextual"/>
        </w:rPr>
        <w:drawing>
          <wp:inline distT="0" distB="0" distL="0" distR="0" wp14:anchorId="4345367F" wp14:editId="5F18FE47">
            <wp:extent cx="4943789" cy="3775157"/>
            <wp:effectExtent l="0" t="0" r="9525" b="0"/>
            <wp:docPr id="93145227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52276" name="Imagem 931452276"/>
                    <pic:cNvPicPr/>
                  </pic:nvPicPr>
                  <pic:blipFill rotWithShape="1">
                    <a:blip r:embed="rId13" cstate="print">
                      <a:extLst>
                        <a:ext uri="{28A0092B-C50C-407E-A947-70E740481C1C}">
                          <a14:useLocalDpi xmlns:a14="http://schemas.microsoft.com/office/drawing/2010/main" val="0"/>
                        </a:ext>
                      </a:extLst>
                    </a:blip>
                    <a:srcRect l="14029" r="12300"/>
                    <a:stretch>
                      <a:fillRect/>
                    </a:stretch>
                  </pic:blipFill>
                  <pic:spPr bwMode="auto">
                    <a:xfrm>
                      <a:off x="0" y="0"/>
                      <a:ext cx="4966152" cy="3792234"/>
                    </a:xfrm>
                    <a:prstGeom prst="rect">
                      <a:avLst/>
                    </a:prstGeom>
                    <a:ln>
                      <a:noFill/>
                    </a:ln>
                    <a:extLst>
                      <a:ext uri="{53640926-AAD7-44D8-BBD7-CCE9431645EC}">
                        <a14:shadowObscured xmlns:a14="http://schemas.microsoft.com/office/drawing/2010/main"/>
                      </a:ext>
                    </a:extLst>
                  </pic:spPr>
                </pic:pic>
              </a:graphicData>
            </a:graphic>
          </wp:inline>
        </w:drawing>
      </w:r>
    </w:p>
    <w:p w14:paraId="6FFF7497" w14:textId="7E4080DD" w:rsidR="002D5968" w:rsidRPr="001A4D84" w:rsidRDefault="002D5968" w:rsidP="00F559CB">
      <w:pPr>
        <w:ind w:firstLine="0"/>
        <w:rPr>
          <w:rFonts w:ascii="Palatino Linotype" w:hAnsi="Palatino Linotype"/>
          <w:sz w:val="18"/>
          <w:szCs w:val="18"/>
          <w:lang w:val="en-US"/>
        </w:rPr>
      </w:pPr>
      <w:r w:rsidRPr="001A4D84">
        <w:rPr>
          <w:rFonts w:ascii="Palatino Linotype" w:hAnsi="Palatino Linotype"/>
          <w:b/>
          <w:bCs/>
          <w:sz w:val="18"/>
          <w:szCs w:val="18"/>
          <w:lang w:val="en-US"/>
        </w:rPr>
        <w:t>Fig</w:t>
      </w:r>
      <w:r w:rsidR="0000296A">
        <w:rPr>
          <w:rFonts w:ascii="Palatino Linotype" w:hAnsi="Palatino Linotype"/>
          <w:b/>
          <w:bCs/>
          <w:sz w:val="18"/>
          <w:szCs w:val="18"/>
          <w:lang w:val="en-US"/>
        </w:rPr>
        <w:t>ure</w:t>
      </w:r>
      <w:r w:rsidRPr="001A4D84">
        <w:rPr>
          <w:rFonts w:ascii="Palatino Linotype" w:hAnsi="Palatino Linotype"/>
          <w:b/>
          <w:bCs/>
          <w:sz w:val="18"/>
          <w:szCs w:val="18"/>
          <w:lang w:val="en-US"/>
        </w:rPr>
        <w:t xml:space="preserve"> S1.</w:t>
      </w:r>
      <w:r w:rsidRPr="001A4D84">
        <w:rPr>
          <w:rFonts w:ascii="Palatino Linotype" w:hAnsi="Palatino Linotype"/>
          <w:sz w:val="18"/>
          <w:szCs w:val="18"/>
          <w:lang w:val="en-US"/>
        </w:rPr>
        <w:t xml:space="preserve"> Spearman collinearity among GEDI-derived structural metrics (polygon level).</w:t>
      </w:r>
    </w:p>
    <w:p w14:paraId="13E1442D" w14:textId="77777777" w:rsidR="001A4D84" w:rsidRDefault="001A4D84" w:rsidP="001A4D84">
      <w:pPr>
        <w:ind w:firstLine="0"/>
        <w:rPr>
          <w:rFonts w:ascii="Palatino Linotype" w:hAnsi="Palatino Linotype"/>
          <w:b/>
          <w:bCs/>
          <w:sz w:val="20"/>
          <w:szCs w:val="20"/>
          <w:lang w:val="en-US"/>
        </w:rPr>
      </w:pPr>
    </w:p>
    <w:p w14:paraId="14FB74E3" w14:textId="13D67D9B" w:rsidR="001A4D84" w:rsidRPr="001A4D84" w:rsidRDefault="001A4D84" w:rsidP="001A4D84">
      <w:pPr>
        <w:ind w:firstLine="0"/>
        <w:rPr>
          <w:rFonts w:ascii="Palatino Linotype" w:hAnsi="Palatino Linotype"/>
          <w:sz w:val="20"/>
          <w:szCs w:val="20"/>
          <w:lang w:val="en-US"/>
        </w:rPr>
      </w:pPr>
      <w:r w:rsidRPr="001A4D84">
        <w:rPr>
          <w:rFonts w:ascii="Palatino Linotype" w:hAnsi="Palatino Linotype"/>
          <w:b/>
          <w:bCs/>
          <w:sz w:val="20"/>
          <w:szCs w:val="20"/>
          <w:lang w:val="en-US"/>
        </w:rPr>
        <w:t>Note</w:t>
      </w:r>
      <w:r w:rsidRPr="001A4D84">
        <w:rPr>
          <w:rFonts w:ascii="Palatino Linotype" w:hAnsi="Palatino Linotype"/>
          <w:sz w:val="20"/>
          <w:szCs w:val="20"/>
          <w:lang w:val="en-US"/>
        </w:rPr>
        <w:t xml:space="preserve">: Correlations were calculated from polygon-level summaries (median GEDI metric per polygon). </w:t>
      </w:r>
      <w:r w:rsidR="00C9136F" w:rsidRPr="00C9136F">
        <w:rPr>
          <w:rFonts w:ascii="Palatino Linotype" w:hAnsi="Palatino Linotype"/>
          <w:sz w:val="20"/>
          <w:szCs w:val="20"/>
          <w:lang w:val="en-US"/>
        </w:rPr>
        <w:t>Full correlation outputs are available in the public Zenodo repository.</w:t>
      </w:r>
    </w:p>
    <w:p w14:paraId="10DC8597" w14:textId="77777777" w:rsidR="00F559CB" w:rsidRPr="001A4D84" w:rsidRDefault="00F559CB" w:rsidP="00F559CB">
      <w:pPr>
        <w:ind w:firstLine="708"/>
        <w:rPr>
          <w:rFonts w:ascii="Palatino Linotype" w:hAnsi="Palatino Linotype"/>
          <w:sz w:val="20"/>
          <w:szCs w:val="20"/>
          <w:lang w:val="en-US"/>
        </w:rPr>
      </w:pPr>
      <w:r w:rsidRPr="001A4D84">
        <w:rPr>
          <w:rFonts w:ascii="Palatino Linotype" w:hAnsi="Palatino Linotype"/>
          <w:sz w:val="20"/>
          <w:szCs w:val="20"/>
          <w:lang w:val="en-US"/>
        </w:rPr>
        <w:t>Heatmap of pairwise Spearman’s ρ computed from polygon-level medians under the baseline QC scenario. Metrics include canopy height (H), aboveground biomass density (AGBD), plant area index (PAI), canopy cover (COVER), and foliage height diversity (FHD).</w:t>
      </w:r>
    </w:p>
    <w:p w14:paraId="76FD9FB5" w14:textId="77777777" w:rsidR="00F559CB" w:rsidRPr="001A4D84" w:rsidRDefault="00F559CB" w:rsidP="00F559CB">
      <w:pPr>
        <w:ind w:firstLine="0"/>
        <w:rPr>
          <w:rFonts w:ascii="Palatino Linotype" w:hAnsi="Palatino Linotype"/>
          <w:sz w:val="20"/>
          <w:szCs w:val="20"/>
          <w:lang w:val="en-US"/>
        </w:rPr>
      </w:pPr>
    </w:p>
    <w:p w14:paraId="7E75EDF8" w14:textId="70BA9C4C" w:rsidR="00F559CB" w:rsidRPr="00992A48" w:rsidRDefault="00F559CB" w:rsidP="00F559CB">
      <w:pPr>
        <w:ind w:firstLine="0"/>
        <w:rPr>
          <w:rFonts w:ascii="Palatino Linotype" w:hAnsi="Palatino Linotype"/>
          <w:lang w:val="en-US"/>
        </w:rPr>
        <w:sectPr w:rsidR="00F559CB" w:rsidRPr="00992A48" w:rsidSect="00300EF3">
          <w:footerReference w:type="default" r:id="rId14"/>
          <w:pgSz w:w="11906" w:h="16838"/>
          <w:pgMar w:top="1417" w:right="1701" w:bottom="1417" w:left="1701" w:header="708" w:footer="708" w:gutter="0"/>
          <w:cols w:space="708"/>
          <w:docGrid w:linePitch="360"/>
        </w:sectPr>
      </w:pPr>
    </w:p>
    <w:p w14:paraId="3F774874" w14:textId="77777777" w:rsidR="002D5968" w:rsidRPr="00992A48" w:rsidRDefault="007E24A0" w:rsidP="00F559CB">
      <w:pPr>
        <w:ind w:firstLine="0"/>
        <w:jc w:val="center"/>
        <w:rPr>
          <w:rFonts w:ascii="Palatino Linotype" w:hAnsi="Palatino Linotype"/>
          <w:lang w:val="en-US"/>
        </w:rPr>
      </w:pPr>
      <w:r w:rsidRPr="00992A48">
        <w:rPr>
          <w:rFonts w:ascii="Palatino Linotype" w:hAnsi="Palatino Linotype"/>
          <w:noProof/>
          <w:lang w:val="en-US"/>
          <w14:ligatures w14:val="standardContextual"/>
        </w:rPr>
        <w:lastRenderedPageBreak/>
        <w:drawing>
          <wp:inline distT="0" distB="0" distL="0" distR="0" wp14:anchorId="25B1190A" wp14:editId="11C2285A">
            <wp:extent cx="7571640" cy="5366328"/>
            <wp:effectExtent l="0" t="0" r="0" b="6350"/>
            <wp:docPr id="122654772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47720" name="Imagem 1226547720"/>
                    <pic:cNvPicPr/>
                  </pic:nvPicPr>
                  <pic:blipFill rotWithShape="1">
                    <a:blip r:embed="rId15" cstate="print">
                      <a:extLst>
                        <a:ext uri="{28A0092B-C50C-407E-A947-70E740481C1C}">
                          <a14:useLocalDpi xmlns:a14="http://schemas.microsoft.com/office/drawing/2010/main" val="0"/>
                        </a:ext>
                      </a:extLst>
                    </a:blip>
                    <a:srcRect l="11289" r="9337"/>
                    <a:stretch>
                      <a:fillRect/>
                    </a:stretch>
                  </pic:blipFill>
                  <pic:spPr bwMode="auto">
                    <a:xfrm>
                      <a:off x="0" y="0"/>
                      <a:ext cx="7752034" cy="5494181"/>
                    </a:xfrm>
                    <a:prstGeom prst="rect">
                      <a:avLst/>
                    </a:prstGeom>
                    <a:ln>
                      <a:noFill/>
                    </a:ln>
                    <a:extLst>
                      <a:ext uri="{53640926-AAD7-44D8-BBD7-CCE9431645EC}">
                        <a14:shadowObscured xmlns:a14="http://schemas.microsoft.com/office/drawing/2010/main"/>
                      </a:ext>
                    </a:extLst>
                  </pic:spPr>
                </pic:pic>
              </a:graphicData>
            </a:graphic>
          </wp:inline>
        </w:drawing>
      </w:r>
    </w:p>
    <w:p w14:paraId="5E235691" w14:textId="03B79B6E" w:rsidR="0062332D" w:rsidRPr="001A4D84" w:rsidRDefault="0062332D" w:rsidP="0062332D">
      <w:pPr>
        <w:ind w:firstLine="0"/>
        <w:rPr>
          <w:rFonts w:ascii="Palatino Linotype" w:hAnsi="Palatino Linotype"/>
          <w:sz w:val="18"/>
          <w:szCs w:val="18"/>
          <w:lang w:val="en-US"/>
        </w:rPr>
      </w:pPr>
      <w:r w:rsidRPr="001A4D84">
        <w:rPr>
          <w:rFonts w:ascii="Palatino Linotype" w:hAnsi="Palatino Linotype"/>
          <w:b/>
          <w:bCs/>
          <w:sz w:val="18"/>
          <w:szCs w:val="18"/>
          <w:lang w:val="en-US"/>
        </w:rPr>
        <w:t>Fig.</w:t>
      </w:r>
      <w:r w:rsidRPr="001A4D84">
        <w:rPr>
          <w:rFonts w:ascii="Palatino Linotype" w:hAnsi="Palatino Linotype"/>
          <w:sz w:val="18"/>
          <w:szCs w:val="18"/>
          <w:lang w:val="en-US"/>
        </w:rPr>
        <w:t xml:space="preserve"> </w:t>
      </w:r>
      <w:r w:rsidRPr="001A4D84">
        <w:rPr>
          <w:rFonts w:ascii="Palatino Linotype" w:hAnsi="Palatino Linotype"/>
          <w:b/>
          <w:bCs/>
          <w:sz w:val="18"/>
          <w:szCs w:val="18"/>
          <w:lang w:val="en-US"/>
        </w:rPr>
        <w:t>S2</w:t>
      </w:r>
      <w:r w:rsidRPr="001A4D84">
        <w:rPr>
          <w:rFonts w:ascii="Palatino Linotype" w:hAnsi="Palatino Linotype"/>
          <w:sz w:val="18"/>
          <w:szCs w:val="18"/>
          <w:lang w:val="en-US"/>
        </w:rPr>
        <w:t xml:space="preserve">. </w:t>
      </w:r>
      <w:r w:rsidR="00B4700B" w:rsidRPr="00B4700B">
        <w:rPr>
          <w:rFonts w:ascii="Palatino Linotype" w:hAnsi="Palatino Linotype"/>
          <w:sz w:val="18"/>
          <w:szCs w:val="18"/>
          <w:lang w:val="en-US"/>
        </w:rPr>
        <w:t>Quality-control sensitivity based on Δ</w:t>
      </w:r>
      <w:r w:rsidR="00B4700B" w:rsidRPr="00B4700B">
        <w:rPr>
          <w:rFonts w:ascii="Palatino Linotype" w:hAnsi="Palatino Linotype"/>
          <w:i/>
          <w:iCs/>
          <w:sz w:val="18"/>
          <w:szCs w:val="18"/>
          <w:lang w:val="en-US"/>
        </w:rPr>
        <w:t>ε</w:t>
      </w:r>
      <w:r w:rsidR="00B4700B" w:rsidRPr="00B4700B">
        <w:rPr>
          <w:rFonts w:ascii="Palatino Linotype" w:hAnsi="Palatino Linotype"/>
          <w:sz w:val="18"/>
          <w:szCs w:val="18"/>
          <w:lang w:val="en-US"/>
        </w:rPr>
        <w:t>² relative to the baseline scenario</w:t>
      </w:r>
      <w:r w:rsidRPr="001A4D84">
        <w:rPr>
          <w:rFonts w:ascii="Palatino Linotype" w:hAnsi="Palatino Linotype"/>
          <w:sz w:val="18"/>
          <w:szCs w:val="18"/>
          <w:lang w:val="en-US"/>
        </w:rPr>
        <w:t>.</w:t>
      </w:r>
    </w:p>
    <w:p w14:paraId="1AB3168D" w14:textId="178237F9" w:rsidR="0062332D" w:rsidRPr="00992A48" w:rsidRDefault="0062332D" w:rsidP="00F559CB">
      <w:pPr>
        <w:ind w:firstLine="0"/>
        <w:jc w:val="center"/>
        <w:rPr>
          <w:rFonts w:ascii="Palatino Linotype" w:hAnsi="Palatino Linotype"/>
          <w:lang w:val="en-US"/>
        </w:rPr>
        <w:sectPr w:rsidR="0062332D" w:rsidRPr="00992A48" w:rsidSect="002D5968">
          <w:pgSz w:w="16838" w:h="11906" w:orient="landscape"/>
          <w:pgMar w:top="1135" w:right="1417" w:bottom="1701" w:left="1417" w:header="708" w:footer="708" w:gutter="0"/>
          <w:cols w:space="708"/>
          <w:docGrid w:linePitch="360"/>
        </w:sectPr>
      </w:pPr>
    </w:p>
    <w:p w14:paraId="4CA71880" w14:textId="77777777" w:rsidR="00C9136F" w:rsidRDefault="001A4D84" w:rsidP="00C9136F">
      <w:pPr>
        <w:ind w:firstLine="0"/>
        <w:rPr>
          <w:rFonts w:ascii="Palatino Linotype" w:hAnsi="Palatino Linotype"/>
          <w:sz w:val="20"/>
          <w:szCs w:val="20"/>
          <w:lang w:val="en-US"/>
        </w:rPr>
      </w:pPr>
      <w:r w:rsidRPr="001A4D84">
        <w:rPr>
          <w:rFonts w:ascii="Palatino Linotype" w:hAnsi="Palatino Linotype"/>
          <w:b/>
          <w:bCs/>
          <w:sz w:val="20"/>
          <w:szCs w:val="20"/>
          <w:lang w:val="en-US"/>
        </w:rPr>
        <w:lastRenderedPageBreak/>
        <w:t>Note</w:t>
      </w:r>
      <w:r w:rsidRPr="001A4D84">
        <w:rPr>
          <w:rFonts w:ascii="Palatino Linotype" w:hAnsi="Palatino Linotype"/>
          <w:sz w:val="20"/>
          <w:szCs w:val="20"/>
          <w:lang w:val="en-US"/>
        </w:rPr>
        <w:t xml:space="preserve">: Effect sizes were computed using polygon-level summaries (median GEDI metric per polygon) with bootstrap resampling of polygons. </w:t>
      </w:r>
      <w:r w:rsidR="00C9136F" w:rsidRPr="00C9136F">
        <w:rPr>
          <w:rFonts w:ascii="Palatino Linotype" w:hAnsi="Palatino Linotype"/>
          <w:sz w:val="20"/>
          <w:szCs w:val="20"/>
          <w:lang w:val="en-US"/>
        </w:rPr>
        <w:t>Full scenario-wise outputs are available in the public Zenodo repository.</w:t>
      </w:r>
    </w:p>
    <w:p w14:paraId="1023656D" w14:textId="6BCDAE5D" w:rsidR="00F559CB" w:rsidRPr="001A4D84" w:rsidRDefault="00F559CB" w:rsidP="00C9136F">
      <w:pPr>
        <w:ind w:firstLine="708"/>
        <w:rPr>
          <w:rFonts w:ascii="Palatino Linotype" w:hAnsi="Palatino Linotype"/>
          <w:sz w:val="20"/>
          <w:szCs w:val="20"/>
          <w:lang w:val="en-US"/>
        </w:rPr>
      </w:pPr>
      <w:r w:rsidRPr="001A4D84">
        <w:rPr>
          <w:rFonts w:ascii="Palatino Linotype" w:hAnsi="Palatino Linotype"/>
          <w:sz w:val="20"/>
          <w:szCs w:val="20"/>
          <w:lang w:val="en-US"/>
        </w:rPr>
        <w:t>Change in polygon-level Kruskal–Wallis effect size relative to the baseline scenario (Δ</w:t>
      </w:r>
      <w:r w:rsidRPr="00B4700B">
        <w:rPr>
          <w:rFonts w:ascii="Palatino Linotype" w:hAnsi="Palatino Linotype"/>
          <w:i/>
          <w:iCs/>
          <w:sz w:val="20"/>
          <w:szCs w:val="20"/>
          <w:lang w:val="en-US"/>
        </w:rPr>
        <w:t>ε</w:t>
      </w:r>
      <w:r w:rsidRPr="001A4D84">
        <w:rPr>
          <w:rFonts w:ascii="Palatino Linotype" w:hAnsi="Palatino Linotype"/>
          <w:sz w:val="20"/>
          <w:szCs w:val="20"/>
          <w:lang w:val="en-US"/>
        </w:rPr>
        <w:t xml:space="preserve">² = </w:t>
      </w:r>
      <w:r w:rsidRPr="00B4700B">
        <w:rPr>
          <w:rFonts w:ascii="Palatino Linotype" w:hAnsi="Palatino Linotype"/>
          <w:i/>
          <w:iCs/>
          <w:sz w:val="20"/>
          <w:szCs w:val="20"/>
          <w:lang w:val="en-US"/>
        </w:rPr>
        <w:t>ε</w:t>
      </w:r>
      <w:r w:rsidRPr="001A4D84">
        <w:rPr>
          <w:rFonts w:ascii="Palatino Linotype" w:hAnsi="Palatino Linotype"/>
          <w:sz w:val="20"/>
          <w:szCs w:val="20"/>
          <w:lang w:val="en-US"/>
        </w:rPr>
        <w:t xml:space="preserve">²_scenario − </w:t>
      </w:r>
      <w:r w:rsidRPr="00B4700B">
        <w:rPr>
          <w:rFonts w:ascii="Palatino Linotype" w:hAnsi="Palatino Linotype"/>
          <w:i/>
          <w:iCs/>
          <w:sz w:val="20"/>
          <w:szCs w:val="20"/>
          <w:lang w:val="en-US"/>
        </w:rPr>
        <w:t>ε</w:t>
      </w:r>
      <w:r w:rsidRPr="001A4D84">
        <w:rPr>
          <w:rFonts w:ascii="Palatino Linotype" w:hAnsi="Palatino Linotype"/>
          <w:sz w:val="20"/>
          <w:szCs w:val="20"/>
          <w:lang w:val="en-US"/>
        </w:rPr>
        <w:t>²_baseline) across QC and acquisition subsets.</w:t>
      </w:r>
    </w:p>
    <w:p w14:paraId="38F6C217" w14:textId="77777777" w:rsidR="00F559CB" w:rsidRPr="001A4D84" w:rsidRDefault="00F559CB" w:rsidP="00F559CB">
      <w:pPr>
        <w:ind w:firstLine="0"/>
        <w:rPr>
          <w:rFonts w:ascii="Palatino Linotype" w:hAnsi="Palatino Linotype"/>
          <w:sz w:val="20"/>
          <w:szCs w:val="20"/>
          <w:lang w:val="en-US"/>
        </w:rPr>
      </w:pPr>
    </w:p>
    <w:p w14:paraId="56EC3BAB" w14:textId="77777777" w:rsidR="00F559CB" w:rsidRPr="00992A48" w:rsidRDefault="00F559CB" w:rsidP="00F559CB">
      <w:pPr>
        <w:ind w:firstLine="0"/>
        <w:rPr>
          <w:rFonts w:ascii="Palatino Linotype" w:hAnsi="Palatino Linotype"/>
          <w:b/>
          <w:bCs/>
          <w:lang w:val="en-US"/>
        </w:rPr>
      </w:pPr>
    </w:p>
    <w:p w14:paraId="59142F0C" w14:textId="77777777" w:rsidR="00F559CB" w:rsidRPr="00992A48" w:rsidRDefault="00F559CB" w:rsidP="00F559CB">
      <w:pPr>
        <w:ind w:firstLine="0"/>
        <w:rPr>
          <w:rFonts w:ascii="Palatino Linotype" w:hAnsi="Palatino Linotype"/>
          <w:b/>
          <w:bCs/>
          <w:lang w:val="en-US"/>
        </w:rPr>
      </w:pPr>
    </w:p>
    <w:p w14:paraId="60128875" w14:textId="77777777" w:rsidR="005E0FCB" w:rsidRPr="00992A48" w:rsidRDefault="005E0FCB">
      <w:pPr>
        <w:spacing w:after="160" w:line="259" w:lineRule="auto"/>
        <w:ind w:firstLine="0"/>
        <w:jc w:val="left"/>
        <w:rPr>
          <w:rFonts w:ascii="Palatino Linotype" w:hAnsi="Palatino Linotype"/>
          <w:b/>
          <w:bCs/>
          <w:lang w:val="en-US"/>
        </w:rPr>
      </w:pPr>
      <w:r w:rsidRPr="00992A48">
        <w:rPr>
          <w:rFonts w:ascii="Palatino Linotype" w:hAnsi="Palatino Linotype"/>
          <w:b/>
          <w:bCs/>
          <w:lang w:val="en-US"/>
        </w:rPr>
        <w:br w:type="page"/>
      </w:r>
    </w:p>
    <w:p w14:paraId="0B38A05D" w14:textId="27C2E57A" w:rsidR="00F559CB" w:rsidRPr="00B4700B" w:rsidRDefault="00B4700B" w:rsidP="00F559CB">
      <w:pPr>
        <w:ind w:firstLine="0"/>
        <w:rPr>
          <w:rFonts w:ascii="Palatino Linotype" w:hAnsi="Palatino Linotype"/>
          <w:b/>
          <w:bCs/>
          <w:lang w:val="en-US"/>
        </w:rPr>
      </w:pPr>
      <w:r>
        <w:rPr>
          <w:rFonts w:ascii="Palatino Linotype" w:hAnsi="Palatino Linotype"/>
          <w:b/>
          <w:bCs/>
          <w:lang w:val="en-US"/>
        </w:rPr>
        <w:lastRenderedPageBreak/>
        <w:t xml:space="preserve">3. </w:t>
      </w:r>
      <w:r w:rsidR="00F559CB" w:rsidRPr="00B4700B">
        <w:rPr>
          <w:rFonts w:ascii="Palatino Linotype" w:hAnsi="Palatino Linotype"/>
          <w:b/>
          <w:bCs/>
          <w:lang w:val="en-US"/>
        </w:rPr>
        <w:t>Supplementary Tables</w:t>
      </w:r>
    </w:p>
    <w:p w14:paraId="0DE1E275" w14:textId="77777777" w:rsidR="00C9136F" w:rsidRDefault="00C9136F" w:rsidP="001A4D84">
      <w:pPr>
        <w:ind w:firstLine="708"/>
        <w:rPr>
          <w:rFonts w:ascii="Palatino Linotype" w:hAnsi="Palatino Linotype"/>
          <w:sz w:val="20"/>
          <w:szCs w:val="20"/>
          <w:lang w:val="en-US"/>
        </w:rPr>
      </w:pPr>
    </w:p>
    <w:p w14:paraId="4266948A" w14:textId="0A8E3DB4" w:rsidR="001A4D84" w:rsidRPr="001A4D84" w:rsidRDefault="001A4D84" w:rsidP="001A4D84">
      <w:pPr>
        <w:ind w:firstLine="708"/>
        <w:rPr>
          <w:rFonts w:ascii="Palatino Linotype" w:hAnsi="Palatino Linotype"/>
          <w:sz w:val="20"/>
          <w:szCs w:val="20"/>
          <w:lang w:val="en-US"/>
        </w:rPr>
      </w:pPr>
      <w:r w:rsidRPr="001A4D84">
        <w:rPr>
          <w:rFonts w:ascii="Palatino Linotype" w:hAnsi="Palatino Linotype"/>
          <w:sz w:val="20"/>
          <w:szCs w:val="20"/>
          <w:lang w:val="en-US"/>
        </w:rPr>
        <w:t xml:space="preserve">Pairwise Spearman’s </w:t>
      </w:r>
      <w:r w:rsidRPr="001A4D84">
        <w:rPr>
          <w:rFonts w:ascii="Palatino Linotype" w:hAnsi="Palatino Linotype"/>
          <w:sz w:val="20"/>
          <w:szCs w:val="20"/>
        </w:rPr>
        <w:t>ρ</w:t>
      </w:r>
      <w:r w:rsidRPr="001A4D84">
        <w:rPr>
          <w:rFonts w:ascii="Palatino Linotype" w:hAnsi="Palatino Linotype"/>
          <w:sz w:val="20"/>
          <w:szCs w:val="20"/>
          <w:lang w:val="en-US"/>
        </w:rPr>
        <w:t xml:space="preserve"> among GEDI-derived structural metrics at the polygon level under the baseline QC scenario.</w:t>
      </w:r>
    </w:p>
    <w:p w14:paraId="1629AD6D" w14:textId="77777777" w:rsidR="000A5380" w:rsidRPr="00992A48" w:rsidRDefault="000A5380" w:rsidP="00F559CB">
      <w:pPr>
        <w:ind w:firstLine="0"/>
        <w:rPr>
          <w:rFonts w:ascii="Palatino Linotype" w:hAnsi="Palatino Linotype"/>
          <w:b/>
          <w:bCs/>
          <w:lang w:val="en-US"/>
        </w:rPr>
      </w:pPr>
    </w:p>
    <w:p w14:paraId="609D00D1" w14:textId="633C2A25" w:rsidR="007E24A0" w:rsidRPr="001A4D84" w:rsidRDefault="006844B5" w:rsidP="00F559CB">
      <w:pPr>
        <w:ind w:firstLine="0"/>
        <w:rPr>
          <w:rFonts w:ascii="Palatino Linotype" w:hAnsi="Palatino Linotype"/>
          <w:sz w:val="18"/>
          <w:szCs w:val="18"/>
          <w:lang w:val="en-US"/>
        </w:rPr>
      </w:pPr>
      <w:r w:rsidRPr="001A4D84">
        <w:rPr>
          <w:rFonts w:ascii="Palatino Linotype" w:hAnsi="Palatino Linotype"/>
          <w:b/>
          <w:bCs/>
          <w:sz w:val="18"/>
          <w:szCs w:val="18"/>
          <w:lang w:val="en-US"/>
        </w:rPr>
        <w:t>Table S1</w:t>
      </w:r>
      <w:r w:rsidR="00195848" w:rsidRPr="001A4D84">
        <w:rPr>
          <w:rFonts w:ascii="Palatino Linotype" w:hAnsi="Palatino Linotype"/>
          <w:b/>
          <w:bCs/>
          <w:sz w:val="18"/>
          <w:szCs w:val="18"/>
          <w:lang w:val="en-US"/>
        </w:rPr>
        <w:t>a</w:t>
      </w:r>
      <w:r w:rsidR="00642259" w:rsidRPr="001A4D84">
        <w:rPr>
          <w:rFonts w:ascii="Palatino Linotype" w:hAnsi="Palatino Linotype"/>
          <w:b/>
          <w:bCs/>
          <w:sz w:val="18"/>
          <w:szCs w:val="18"/>
          <w:lang w:val="en-US"/>
        </w:rPr>
        <w:t>.</w:t>
      </w:r>
      <w:r w:rsidR="002D5968" w:rsidRPr="001A4D84">
        <w:rPr>
          <w:rFonts w:ascii="Palatino Linotype" w:hAnsi="Palatino Linotype"/>
          <w:b/>
          <w:bCs/>
          <w:sz w:val="18"/>
          <w:szCs w:val="18"/>
          <w:lang w:val="en-US"/>
        </w:rPr>
        <w:t xml:space="preserve"> </w:t>
      </w:r>
      <w:r w:rsidR="002D5968" w:rsidRPr="001A4D84">
        <w:rPr>
          <w:rFonts w:ascii="Palatino Linotype" w:hAnsi="Palatino Linotype"/>
          <w:sz w:val="18"/>
          <w:szCs w:val="18"/>
          <w:lang w:val="en-US"/>
        </w:rPr>
        <w:t>Polygon-level collinearity under baseline QC.</w:t>
      </w:r>
    </w:p>
    <w:bookmarkStart w:id="1" w:name="_MON_1834680217"/>
    <w:bookmarkEnd w:id="1"/>
    <w:p w14:paraId="3691872D" w14:textId="696B9975" w:rsidR="007E24A0" w:rsidRPr="00992A48" w:rsidRDefault="00B4700B" w:rsidP="00992A48">
      <w:pPr>
        <w:ind w:firstLine="0"/>
        <w:jc w:val="center"/>
        <w:rPr>
          <w:rFonts w:ascii="Palatino Linotype" w:hAnsi="Palatino Linotype"/>
        </w:rPr>
      </w:pPr>
      <w:r w:rsidRPr="00992A48">
        <w:rPr>
          <w:rFonts w:ascii="Palatino Linotype" w:hAnsi="Palatino Linotype"/>
        </w:rPr>
        <w:object w:dxaOrig="8803" w:dyaOrig="3502" w14:anchorId="6A98D4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25pt;height:138pt" o:ole="">
            <v:imagedata r:id="rId16" o:title=""/>
          </v:shape>
          <o:OLEObject Type="Embed" ProgID="Excel.Sheet.12" ShapeID="_x0000_i1025" DrawAspect="Content" ObjectID="_1842559737" r:id="rId17"/>
        </w:object>
      </w:r>
    </w:p>
    <w:p w14:paraId="101C9BAF" w14:textId="63F108B8" w:rsidR="005E0FCB" w:rsidRDefault="00642259" w:rsidP="00B4700B">
      <w:pPr>
        <w:ind w:firstLine="0"/>
        <w:rPr>
          <w:rFonts w:ascii="Palatino Linotype" w:hAnsi="Palatino Linotype"/>
          <w:sz w:val="20"/>
          <w:szCs w:val="20"/>
          <w:lang w:val="en-US"/>
        </w:rPr>
      </w:pPr>
      <w:r w:rsidRPr="001A4D84">
        <w:rPr>
          <w:rFonts w:ascii="Palatino Linotype" w:hAnsi="Palatino Linotype"/>
          <w:b/>
          <w:bCs/>
          <w:sz w:val="20"/>
          <w:szCs w:val="20"/>
          <w:lang w:val="en-US"/>
        </w:rPr>
        <w:t>Note</w:t>
      </w:r>
      <w:r w:rsidRPr="001A4D84">
        <w:rPr>
          <w:rFonts w:ascii="Palatino Linotype" w:hAnsi="Palatino Linotype"/>
          <w:sz w:val="20"/>
          <w:szCs w:val="20"/>
          <w:lang w:val="en-US"/>
        </w:rPr>
        <w:t xml:space="preserve">: </w:t>
      </w:r>
      <w:r w:rsidR="000A5380" w:rsidRPr="001A4D84">
        <w:rPr>
          <w:rFonts w:ascii="Palatino Linotype" w:hAnsi="Palatino Linotype"/>
          <w:sz w:val="20"/>
          <w:szCs w:val="20"/>
          <w:lang w:val="en-US"/>
        </w:rPr>
        <w:t>Values were computed from polygon-level summaries (median GEDI metric per polygon). Pairs with |ρ| ≥ 0.70 are flagged as potentially collinear, and pairs with |ρ| ≥ 0.80 indicate high collinearity.</w:t>
      </w:r>
    </w:p>
    <w:p w14:paraId="613B533D" w14:textId="77777777" w:rsidR="00B4700B" w:rsidRPr="00B4700B" w:rsidRDefault="00B4700B" w:rsidP="00B4700B">
      <w:pPr>
        <w:ind w:firstLine="0"/>
        <w:rPr>
          <w:rFonts w:ascii="Palatino Linotype" w:hAnsi="Palatino Linotype"/>
          <w:b/>
          <w:bCs/>
          <w:sz w:val="20"/>
          <w:szCs w:val="20"/>
          <w:lang w:val="en-US"/>
        </w:rPr>
      </w:pPr>
    </w:p>
    <w:p w14:paraId="3E760A8C" w14:textId="471575B5" w:rsidR="002D5968" w:rsidRPr="00B4700B" w:rsidRDefault="000A5380" w:rsidP="000A5380">
      <w:pPr>
        <w:ind w:firstLine="708"/>
        <w:rPr>
          <w:rFonts w:ascii="Palatino Linotype" w:hAnsi="Palatino Linotype"/>
          <w:sz w:val="20"/>
          <w:szCs w:val="20"/>
          <w:lang w:val="en-US"/>
        </w:rPr>
      </w:pPr>
      <w:r w:rsidRPr="00B4700B">
        <w:rPr>
          <w:rFonts w:ascii="Palatino Linotype" w:hAnsi="Palatino Linotype"/>
          <w:sz w:val="20"/>
          <w:szCs w:val="20"/>
          <w:lang w:val="en-US"/>
        </w:rPr>
        <w:t>Summary of the stability of pairwise Spearman’s ρ across alternative QC and acquisition scenarios at the polygon level.</w:t>
      </w:r>
    </w:p>
    <w:p w14:paraId="79EE239A" w14:textId="77777777" w:rsidR="00B4700B" w:rsidRPr="00992A48" w:rsidRDefault="00B4700B" w:rsidP="000A5380">
      <w:pPr>
        <w:ind w:firstLine="708"/>
        <w:rPr>
          <w:rFonts w:ascii="Palatino Linotype" w:hAnsi="Palatino Linotype"/>
          <w:lang w:val="en-US"/>
        </w:rPr>
      </w:pPr>
    </w:p>
    <w:p w14:paraId="476DF91A" w14:textId="77777777" w:rsidR="00B4700B" w:rsidRPr="00B4700B" w:rsidRDefault="00B4700B" w:rsidP="00B4700B">
      <w:pPr>
        <w:ind w:firstLine="0"/>
        <w:rPr>
          <w:rFonts w:ascii="Palatino Linotype" w:hAnsi="Palatino Linotype"/>
          <w:sz w:val="18"/>
          <w:szCs w:val="18"/>
          <w:lang w:val="en-US"/>
        </w:rPr>
      </w:pPr>
      <w:r w:rsidRPr="00B4700B">
        <w:rPr>
          <w:rFonts w:ascii="Palatino Linotype" w:hAnsi="Palatino Linotype"/>
          <w:b/>
          <w:bCs/>
          <w:sz w:val="18"/>
          <w:szCs w:val="18"/>
          <w:lang w:val="en-US"/>
        </w:rPr>
        <w:t xml:space="preserve">Table S1b. </w:t>
      </w:r>
      <w:r w:rsidRPr="00B4700B">
        <w:rPr>
          <w:rFonts w:ascii="Palatino Linotype" w:hAnsi="Palatino Linotype"/>
          <w:sz w:val="18"/>
          <w:szCs w:val="18"/>
          <w:lang w:val="en-US"/>
        </w:rPr>
        <w:t>Stability of polygon-level collinearity across scenarios.</w:t>
      </w:r>
    </w:p>
    <w:bookmarkStart w:id="2" w:name="_MON_1834681115"/>
    <w:bookmarkEnd w:id="2"/>
    <w:p w14:paraId="650B7EE6" w14:textId="692C68DD" w:rsidR="00642259" w:rsidRPr="00992A48" w:rsidRDefault="00B4700B" w:rsidP="00992A48">
      <w:pPr>
        <w:ind w:firstLine="0"/>
        <w:jc w:val="center"/>
        <w:rPr>
          <w:rFonts w:ascii="Palatino Linotype" w:hAnsi="Palatino Linotype"/>
        </w:rPr>
      </w:pPr>
      <w:r w:rsidRPr="00992A48">
        <w:rPr>
          <w:rFonts w:ascii="Palatino Linotype" w:hAnsi="Palatino Linotype"/>
        </w:rPr>
        <w:object w:dxaOrig="6691" w:dyaOrig="3344" w14:anchorId="3EA3E4AE">
          <v:shape id="_x0000_i1026" type="#_x0000_t75" style="width:297.8pt;height:149.45pt" o:ole="">
            <v:imagedata r:id="rId18" o:title=""/>
          </v:shape>
          <o:OLEObject Type="Embed" ProgID="Excel.Sheet.12" ShapeID="_x0000_i1026" DrawAspect="Content" ObjectID="_1842559738" r:id="rId19"/>
        </w:object>
      </w:r>
    </w:p>
    <w:p w14:paraId="286C97A9" w14:textId="77777777" w:rsidR="00AC0917" w:rsidRPr="00992A48" w:rsidRDefault="00AC0917" w:rsidP="00F559CB">
      <w:pPr>
        <w:ind w:firstLine="0"/>
        <w:rPr>
          <w:rFonts w:ascii="Palatino Linotype" w:hAnsi="Palatino Linotype"/>
          <w:b/>
          <w:bCs/>
          <w:lang w:val="en-US"/>
        </w:rPr>
      </w:pPr>
    </w:p>
    <w:p w14:paraId="6374D3D2" w14:textId="70F43B6D" w:rsidR="00300EF3" w:rsidRPr="00B4700B" w:rsidRDefault="00642259" w:rsidP="00F559CB">
      <w:pPr>
        <w:ind w:firstLine="0"/>
        <w:rPr>
          <w:rFonts w:ascii="Palatino Linotype" w:hAnsi="Palatino Linotype"/>
          <w:sz w:val="20"/>
          <w:szCs w:val="20"/>
          <w:lang w:val="en-US"/>
        </w:rPr>
        <w:sectPr w:rsidR="00300EF3" w:rsidRPr="00B4700B" w:rsidSect="00300EF3">
          <w:pgSz w:w="11906" w:h="16838"/>
          <w:pgMar w:top="1417" w:right="1701" w:bottom="1417" w:left="1701" w:header="708" w:footer="708" w:gutter="0"/>
          <w:cols w:space="708"/>
          <w:docGrid w:linePitch="360"/>
        </w:sectPr>
      </w:pPr>
      <w:r w:rsidRPr="00B4700B">
        <w:rPr>
          <w:rFonts w:ascii="Palatino Linotype" w:hAnsi="Palatino Linotype"/>
          <w:b/>
          <w:bCs/>
          <w:sz w:val="20"/>
          <w:szCs w:val="20"/>
          <w:lang w:val="en-US"/>
        </w:rPr>
        <w:t>Note</w:t>
      </w:r>
      <w:r w:rsidRPr="00B4700B">
        <w:rPr>
          <w:rFonts w:ascii="Palatino Linotype" w:hAnsi="Palatino Linotype"/>
          <w:sz w:val="20"/>
          <w:szCs w:val="20"/>
          <w:lang w:val="en-US"/>
        </w:rPr>
        <w:t xml:space="preserve">: </w:t>
      </w:r>
      <w:r w:rsidR="000A5380" w:rsidRPr="00B4700B">
        <w:rPr>
          <w:rFonts w:ascii="Palatino Linotype" w:hAnsi="Palatino Linotype"/>
          <w:sz w:val="20"/>
          <w:szCs w:val="20"/>
          <w:lang w:val="en-US"/>
        </w:rPr>
        <w:t xml:space="preserve">For each metric pair, the table reports baseline ρ and the median, minimum, and maximum ρ across scenarios. </w:t>
      </w:r>
      <w:r w:rsidR="00C9136F" w:rsidRPr="00C9136F">
        <w:rPr>
          <w:rFonts w:ascii="Palatino Linotype" w:hAnsi="Palatino Linotype"/>
          <w:sz w:val="20"/>
          <w:szCs w:val="20"/>
          <w:lang w:val="en-US"/>
        </w:rPr>
        <w:t>Full correlation outputs are available in the public Zenodo repository.</w:t>
      </w:r>
    </w:p>
    <w:p w14:paraId="401120EA" w14:textId="77777777" w:rsidR="000A5380" w:rsidRPr="00992A48" w:rsidRDefault="000A5380" w:rsidP="00F559CB">
      <w:pPr>
        <w:ind w:firstLine="0"/>
        <w:rPr>
          <w:rFonts w:ascii="Palatino Linotype" w:hAnsi="Palatino Linotype"/>
          <w:lang w:val="en-US"/>
        </w:rPr>
      </w:pPr>
    </w:p>
    <w:p w14:paraId="6F13BD3F" w14:textId="51979A8E" w:rsidR="00B46008" w:rsidRPr="00B4700B" w:rsidRDefault="000A5380" w:rsidP="000A5380">
      <w:pPr>
        <w:ind w:firstLine="708"/>
        <w:rPr>
          <w:rFonts w:ascii="Palatino Linotype" w:hAnsi="Palatino Linotype"/>
          <w:sz w:val="20"/>
          <w:szCs w:val="20"/>
          <w:lang w:val="en-US"/>
        </w:rPr>
      </w:pPr>
      <w:r w:rsidRPr="00B4700B">
        <w:rPr>
          <w:rFonts w:ascii="Palatino Linotype" w:hAnsi="Palatino Linotype"/>
          <w:sz w:val="20"/>
          <w:szCs w:val="20"/>
          <w:lang w:val="en-US"/>
        </w:rPr>
        <w:t>QC and acquisition scenarios evaluated and their effects on retained sample size at the footprint and polygon levels, before and after application of the internal 60 m buffer.</w:t>
      </w:r>
    </w:p>
    <w:p w14:paraId="3298F3C4" w14:textId="77777777" w:rsidR="00B4700B" w:rsidRDefault="00B4700B" w:rsidP="00B4700B">
      <w:pPr>
        <w:spacing w:after="160"/>
        <w:ind w:firstLine="0"/>
        <w:rPr>
          <w:rFonts w:ascii="Palatino Linotype" w:hAnsi="Palatino Linotype"/>
          <w:b/>
          <w:bCs/>
          <w:lang w:val="en-US"/>
        </w:rPr>
      </w:pPr>
    </w:p>
    <w:p w14:paraId="361DA16A" w14:textId="29C62C29" w:rsidR="00B4700B" w:rsidRPr="00B4700B" w:rsidRDefault="00B4700B" w:rsidP="00B4700B">
      <w:pPr>
        <w:spacing w:after="160"/>
        <w:ind w:firstLine="0"/>
        <w:rPr>
          <w:rFonts w:ascii="Palatino Linotype" w:hAnsi="Palatino Linotype"/>
          <w:sz w:val="18"/>
          <w:szCs w:val="18"/>
          <w:lang w:val="en-US"/>
        </w:rPr>
      </w:pPr>
      <w:r w:rsidRPr="00B4700B">
        <w:rPr>
          <w:rFonts w:ascii="Palatino Linotype" w:hAnsi="Palatino Linotype"/>
          <w:b/>
          <w:bCs/>
          <w:sz w:val="18"/>
          <w:szCs w:val="18"/>
          <w:lang w:val="en-US"/>
        </w:rPr>
        <w:t xml:space="preserve">Table S2a. </w:t>
      </w:r>
      <w:r w:rsidRPr="00B4700B">
        <w:rPr>
          <w:rFonts w:ascii="Palatino Linotype" w:hAnsi="Palatino Linotype"/>
          <w:sz w:val="18"/>
          <w:szCs w:val="18"/>
          <w:lang w:val="en-US"/>
        </w:rPr>
        <w:t>QC/acquisition scenarios and sample-size impact.</w:t>
      </w:r>
    </w:p>
    <w:bookmarkStart w:id="3" w:name="_MON_1834684690"/>
    <w:bookmarkEnd w:id="3"/>
    <w:p w14:paraId="14A1D64D" w14:textId="69D83B11" w:rsidR="00B46008" w:rsidRPr="00992A48" w:rsidRDefault="00B4700B" w:rsidP="00B4700B">
      <w:pPr>
        <w:ind w:firstLine="0"/>
        <w:jc w:val="center"/>
        <w:rPr>
          <w:rFonts w:ascii="Palatino Linotype" w:hAnsi="Palatino Linotype"/>
        </w:rPr>
      </w:pPr>
      <w:r w:rsidRPr="00992A48">
        <w:rPr>
          <w:rFonts w:ascii="Palatino Linotype" w:hAnsi="Palatino Linotype"/>
        </w:rPr>
        <w:object w:dxaOrig="13845" w:dyaOrig="2254" w14:anchorId="12B06BC1">
          <v:shape id="_x0000_i1027" type="#_x0000_t75" style="width:676.9pt;height:109.1pt" o:ole="">
            <v:imagedata r:id="rId20" o:title=""/>
          </v:shape>
          <o:OLEObject Type="Embed" ProgID="Excel.Sheet.12" ShapeID="_x0000_i1027" DrawAspect="Content" ObjectID="_1842559739" r:id="rId21"/>
        </w:object>
      </w:r>
    </w:p>
    <w:p w14:paraId="4EB28CDE" w14:textId="46836654" w:rsidR="00300EF3" w:rsidRPr="00992A48" w:rsidRDefault="002D5968" w:rsidP="00F559CB">
      <w:pPr>
        <w:spacing w:after="160"/>
        <w:ind w:firstLine="0"/>
        <w:rPr>
          <w:rFonts w:ascii="Palatino Linotype" w:hAnsi="Palatino Linotype"/>
          <w:lang w:val="en-US"/>
        </w:rPr>
      </w:pPr>
      <w:r w:rsidRPr="00B4700B">
        <w:rPr>
          <w:rFonts w:ascii="Palatino Linotype" w:hAnsi="Palatino Linotype"/>
          <w:b/>
          <w:bCs/>
          <w:sz w:val="20"/>
          <w:szCs w:val="20"/>
          <w:lang w:val="en-US"/>
        </w:rPr>
        <w:t>Note</w:t>
      </w:r>
      <w:r w:rsidRPr="00B4700B">
        <w:rPr>
          <w:rFonts w:ascii="Palatino Linotype" w:hAnsi="Palatino Linotype"/>
          <w:sz w:val="20"/>
          <w:szCs w:val="20"/>
          <w:lang w:val="en-US"/>
        </w:rPr>
        <w:t xml:space="preserve">: </w:t>
      </w:r>
      <w:r w:rsidR="000A5380" w:rsidRPr="00B4700B">
        <w:rPr>
          <w:rFonts w:ascii="Palatino Linotype" w:hAnsi="Palatino Linotype"/>
          <w:sz w:val="20"/>
          <w:szCs w:val="20"/>
          <w:lang w:val="en-US"/>
        </w:rPr>
        <w:t xml:space="preserve">Sample-size counts are shown for compact comparison across scenarios. </w:t>
      </w:r>
      <w:r w:rsidR="00C9136F" w:rsidRPr="00C9136F">
        <w:rPr>
          <w:rFonts w:ascii="Palatino Linotype" w:hAnsi="Palatino Linotype"/>
          <w:sz w:val="20"/>
          <w:szCs w:val="20"/>
          <w:lang w:val="en-US"/>
        </w:rPr>
        <w:t>Full processing logs are available in the public Zenodo repository.</w:t>
      </w:r>
    </w:p>
    <w:p w14:paraId="151572E6" w14:textId="77777777" w:rsidR="00300EF3" w:rsidRPr="00992A48" w:rsidRDefault="00300EF3" w:rsidP="00F559CB">
      <w:pPr>
        <w:spacing w:after="160"/>
        <w:ind w:firstLine="0"/>
        <w:rPr>
          <w:rFonts w:ascii="Palatino Linotype" w:hAnsi="Palatino Linotype"/>
          <w:lang w:val="en-US"/>
        </w:rPr>
        <w:sectPr w:rsidR="00300EF3" w:rsidRPr="00992A48" w:rsidSect="003D0F4E">
          <w:pgSz w:w="16838" w:h="11906" w:orient="landscape"/>
          <w:pgMar w:top="1701" w:right="1417" w:bottom="1701" w:left="1417" w:header="708" w:footer="708" w:gutter="0"/>
          <w:cols w:space="708"/>
          <w:docGrid w:linePitch="360"/>
        </w:sectPr>
      </w:pPr>
    </w:p>
    <w:p w14:paraId="1CD7AFE4" w14:textId="3782AA29" w:rsidR="0059005A" w:rsidRPr="00B4700B" w:rsidRDefault="000A5380" w:rsidP="000A5380">
      <w:pPr>
        <w:ind w:firstLine="708"/>
        <w:rPr>
          <w:rFonts w:ascii="Palatino Linotype" w:hAnsi="Palatino Linotype"/>
          <w:sz w:val="20"/>
          <w:szCs w:val="20"/>
          <w:lang w:val="en-US"/>
        </w:rPr>
      </w:pPr>
      <w:r w:rsidRPr="00B4700B">
        <w:rPr>
          <w:rFonts w:ascii="Palatino Linotype" w:hAnsi="Palatino Linotype"/>
          <w:sz w:val="20"/>
          <w:szCs w:val="20"/>
          <w:lang w:val="en-US"/>
        </w:rPr>
        <w:lastRenderedPageBreak/>
        <w:t>Definitions of the QC and acquisition scenarios used in the sensitivity analysis and identification of redundant scenarios collapsed for compact reporting.</w:t>
      </w:r>
    </w:p>
    <w:p w14:paraId="51367DD8" w14:textId="6A0BEAA5" w:rsidR="00E244D1" w:rsidRDefault="00E244D1" w:rsidP="000A5380">
      <w:pPr>
        <w:ind w:firstLine="708"/>
        <w:rPr>
          <w:rFonts w:ascii="Palatino Linotype" w:hAnsi="Palatino Linotype"/>
          <w:sz w:val="20"/>
          <w:szCs w:val="20"/>
          <w:lang w:val="en-US"/>
        </w:rPr>
      </w:pPr>
      <w:r w:rsidRPr="00B4700B">
        <w:rPr>
          <w:rFonts w:ascii="Palatino Linotype" w:hAnsi="Palatino Linotype"/>
          <w:sz w:val="20"/>
          <w:szCs w:val="20"/>
          <w:lang w:val="en-US"/>
        </w:rPr>
        <w:t>All scenarios refer to alternative filtering subsets applied to GEDI footprints after polygon assignment.</w:t>
      </w:r>
    </w:p>
    <w:p w14:paraId="51CCB96A" w14:textId="77777777" w:rsidR="00B4700B" w:rsidRPr="00B4700B" w:rsidRDefault="00B4700B" w:rsidP="000A5380">
      <w:pPr>
        <w:ind w:firstLine="708"/>
        <w:rPr>
          <w:rFonts w:ascii="Palatino Linotype" w:hAnsi="Palatino Linotype"/>
          <w:sz w:val="20"/>
          <w:szCs w:val="20"/>
          <w:lang w:val="en-US"/>
        </w:rPr>
      </w:pPr>
    </w:p>
    <w:p w14:paraId="7FED4048" w14:textId="77777777" w:rsidR="00B4700B" w:rsidRPr="00B4700B" w:rsidRDefault="00B4700B" w:rsidP="00B4700B">
      <w:pPr>
        <w:spacing w:after="160"/>
        <w:ind w:firstLine="0"/>
        <w:rPr>
          <w:rFonts w:ascii="Palatino Linotype" w:hAnsi="Palatino Linotype"/>
          <w:sz w:val="18"/>
          <w:szCs w:val="18"/>
          <w:lang w:val="en-US"/>
        </w:rPr>
      </w:pPr>
      <w:r w:rsidRPr="00B4700B">
        <w:rPr>
          <w:rFonts w:ascii="Palatino Linotype" w:hAnsi="Palatino Linotype"/>
          <w:b/>
          <w:bCs/>
          <w:sz w:val="18"/>
          <w:szCs w:val="18"/>
          <w:lang w:val="en-US"/>
        </w:rPr>
        <w:t xml:space="preserve">Table S2b. </w:t>
      </w:r>
      <w:r w:rsidRPr="00B4700B">
        <w:rPr>
          <w:rFonts w:ascii="Palatino Linotype" w:hAnsi="Palatino Linotype"/>
          <w:sz w:val="18"/>
          <w:szCs w:val="18"/>
          <w:lang w:val="en-US"/>
        </w:rPr>
        <w:t>Scenario definitions and redundancy handling.</w:t>
      </w:r>
    </w:p>
    <w:bookmarkStart w:id="4" w:name="_MON_1834686275"/>
    <w:bookmarkEnd w:id="4"/>
    <w:p w14:paraId="41C30721" w14:textId="6E82F1C7" w:rsidR="00F52D86" w:rsidRPr="00992A48" w:rsidRDefault="00B4700B" w:rsidP="000A5380">
      <w:pPr>
        <w:ind w:firstLine="0"/>
        <w:jc w:val="center"/>
        <w:rPr>
          <w:rFonts w:ascii="Palatino Linotype" w:hAnsi="Palatino Linotype"/>
          <w:lang w:val="en-US"/>
        </w:rPr>
      </w:pPr>
      <w:r w:rsidRPr="00992A48">
        <w:rPr>
          <w:rFonts w:ascii="Palatino Linotype" w:hAnsi="Palatino Linotype"/>
        </w:rPr>
        <w:object w:dxaOrig="8916" w:dyaOrig="3053" w14:anchorId="2CD517BD">
          <v:shape id="_x0000_i1028" type="#_x0000_t75" style="width:451.1pt;height:153.25pt" o:ole="">
            <v:imagedata r:id="rId22" o:title=""/>
          </v:shape>
          <o:OLEObject Type="Embed" ProgID="Excel.Sheet.12" ShapeID="_x0000_i1028" DrawAspect="Content" ObjectID="_1842559740" r:id="rId23"/>
        </w:object>
      </w:r>
    </w:p>
    <w:p w14:paraId="4F0F37C8" w14:textId="47D4334C" w:rsidR="00B4700B" w:rsidRPr="00B4700B" w:rsidRDefault="00B4700B" w:rsidP="00B4700B">
      <w:pPr>
        <w:ind w:firstLine="0"/>
        <w:rPr>
          <w:rFonts w:ascii="Palatino Linotype" w:hAnsi="Palatino Linotype"/>
          <w:sz w:val="20"/>
          <w:szCs w:val="20"/>
          <w:lang w:val="en-US"/>
        </w:rPr>
      </w:pPr>
      <w:r w:rsidRPr="00B4700B">
        <w:rPr>
          <w:rFonts w:ascii="Palatino Linotype" w:hAnsi="Palatino Linotype"/>
          <w:b/>
          <w:bCs/>
          <w:sz w:val="20"/>
          <w:szCs w:val="20"/>
          <w:lang w:val="en-US"/>
        </w:rPr>
        <w:t>Note</w:t>
      </w:r>
      <w:r w:rsidRPr="00B4700B">
        <w:rPr>
          <w:rFonts w:ascii="Palatino Linotype" w:hAnsi="Palatino Linotype"/>
          <w:sz w:val="20"/>
          <w:szCs w:val="20"/>
          <w:lang w:val="en-US"/>
        </w:rPr>
        <w:t xml:space="preserve">: Redundant sensitivity thresholds producing identical retained sample sizes after QC and buffering were collapsed to a representative scenario. </w:t>
      </w:r>
      <w:r w:rsidR="00C9136F" w:rsidRPr="00C9136F">
        <w:rPr>
          <w:rFonts w:ascii="Palatino Linotype" w:hAnsi="Palatino Linotype"/>
          <w:sz w:val="20"/>
          <w:szCs w:val="20"/>
          <w:lang w:val="en-US"/>
        </w:rPr>
        <w:t>Full redundancy mapping is available in the public Zenodo repository.</w:t>
      </w:r>
    </w:p>
    <w:p w14:paraId="2EC27F6A" w14:textId="77777777" w:rsidR="006113BB" w:rsidRPr="00992A48" w:rsidRDefault="006113BB" w:rsidP="00F559CB">
      <w:pPr>
        <w:ind w:firstLine="0"/>
        <w:rPr>
          <w:rFonts w:ascii="Palatino Linotype" w:hAnsi="Palatino Linotype"/>
          <w:b/>
          <w:bCs/>
          <w:lang w:val="en-US"/>
        </w:rPr>
      </w:pPr>
    </w:p>
    <w:p w14:paraId="4784539E" w14:textId="4895F74F" w:rsidR="006113BB" w:rsidRPr="00B4700B" w:rsidRDefault="002D5968" w:rsidP="00F559CB">
      <w:pPr>
        <w:ind w:firstLine="0"/>
        <w:rPr>
          <w:rFonts w:ascii="Palatino Linotype" w:hAnsi="Palatino Linotype"/>
          <w:sz w:val="20"/>
          <w:szCs w:val="20"/>
          <w:lang w:val="en-US"/>
        </w:rPr>
      </w:pPr>
      <w:r w:rsidRPr="00B4700B">
        <w:rPr>
          <w:rFonts w:ascii="Palatino Linotype" w:hAnsi="Palatino Linotype"/>
          <w:sz w:val="20"/>
          <w:szCs w:val="20"/>
          <w:lang w:val="en-US"/>
        </w:rPr>
        <w:t>Scenario definitions (QC/acquisition subsets):</w:t>
      </w:r>
    </w:p>
    <w:p w14:paraId="568C829C" w14:textId="77777777" w:rsidR="002D5968" w:rsidRPr="00B4700B" w:rsidRDefault="002D5968" w:rsidP="00F559CB">
      <w:pPr>
        <w:pStyle w:val="PargrafodaLista"/>
        <w:ind w:left="426" w:firstLine="0"/>
        <w:rPr>
          <w:rFonts w:ascii="Palatino Linotype" w:hAnsi="Palatino Linotype"/>
          <w:sz w:val="20"/>
          <w:szCs w:val="20"/>
          <w:lang w:val="en-US"/>
        </w:rPr>
      </w:pPr>
    </w:p>
    <w:p w14:paraId="79029214" w14:textId="5B1883FE" w:rsidR="002D5968" w:rsidRPr="00B4700B" w:rsidRDefault="002D5968" w:rsidP="00F559CB">
      <w:pPr>
        <w:pStyle w:val="PargrafodaLista"/>
        <w:numPr>
          <w:ilvl w:val="0"/>
          <w:numId w:val="8"/>
        </w:numPr>
        <w:rPr>
          <w:rFonts w:ascii="Palatino Linotype" w:hAnsi="Palatino Linotype"/>
          <w:sz w:val="20"/>
          <w:szCs w:val="20"/>
          <w:lang w:val="en-US"/>
        </w:rPr>
      </w:pPr>
      <w:r w:rsidRPr="00B4700B">
        <w:rPr>
          <w:rFonts w:ascii="Palatino Linotype" w:hAnsi="Palatino Linotype"/>
          <w:sz w:val="20"/>
          <w:szCs w:val="20"/>
          <w:lang w:val="en-US"/>
        </w:rPr>
        <w:t>No QC (diagnostic): No per-shot QC screening; all footprints assigned to polygons by spatial join were retained (prior to the 60 m internal buffer).</w:t>
      </w:r>
    </w:p>
    <w:p w14:paraId="235297E7" w14:textId="77777777" w:rsidR="002D5968" w:rsidRPr="00B4700B" w:rsidRDefault="002D5968" w:rsidP="00F559CB">
      <w:pPr>
        <w:pStyle w:val="PargrafodaLista"/>
        <w:numPr>
          <w:ilvl w:val="0"/>
          <w:numId w:val="8"/>
        </w:numPr>
        <w:rPr>
          <w:rFonts w:ascii="Palatino Linotype" w:hAnsi="Palatino Linotype"/>
          <w:sz w:val="20"/>
          <w:szCs w:val="20"/>
          <w:lang w:val="en-US"/>
        </w:rPr>
      </w:pPr>
      <w:r w:rsidRPr="00B4700B">
        <w:rPr>
          <w:rFonts w:ascii="Palatino Linotype" w:hAnsi="Palatino Linotype"/>
          <w:sz w:val="20"/>
          <w:szCs w:val="20"/>
          <w:lang w:val="en-US"/>
        </w:rPr>
        <w:t>Baseline QC (quality = 1; degrade = 0): Retained only footprints meeting recommended per-shot QC for both GEDI products (L2B and L4A: quality_flag = 1 and degrade_flag = 0).</w:t>
      </w:r>
    </w:p>
    <w:p w14:paraId="6115DFCF" w14:textId="77777777" w:rsidR="002D5968" w:rsidRPr="00B4700B" w:rsidRDefault="002D5968" w:rsidP="00F559CB">
      <w:pPr>
        <w:pStyle w:val="PargrafodaLista"/>
        <w:numPr>
          <w:ilvl w:val="0"/>
          <w:numId w:val="8"/>
        </w:numPr>
        <w:rPr>
          <w:rFonts w:ascii="Palatino Linotype" w:hAnsi="Palatino Linotype"/>
          <w:sz w:val="20"/>
          <w:szCs w:val="20"/>
          <w:lang w:val="en-US"/>
        </w:rPr>
      </w:pPr>
      <w:r w:rsidRPr="00B4700B">
        <w:rPr>
          <w:rFonts w:ascii="Palatino Linotype" w:hAnsi="Palatino Linotype"/>
          <w:sz w:val="20"/>
          <w:szCs w:val="20"/>
          <w:lang w:val="en-US"/>
        </w:rPr>
        <w:t>Baseline + sensitivity ≥ 0.80 / 0.90 / 0.95 / 0.99: Baseline QC plus a minimum waveform sensitivity threshold in both products (sensitivity_2b ≥ threshold and sensitivity_4a ≥ threshold).</w:t>
      </w:r>
    </w:p>
    <w:p w14:paraId="3782A109" w14:textId="77777777" w:rsidR="00C9136F" w:rsidRDefault="00C9136F" w:rsidP="00F559CB">
      <w:pPr>
        <w:pStyle w:val="PargrafodaLista"/>
        <w:numPr>
          <w:ilvl w:val="0"/>
          <w:numId w:val="8"/>
        </w:numPr>
        <w:rPr>
          <w:rFonts w:ascii="Palatino Linotype" w:hAnsi="Palatino Linotype"/>
          <w:sz w:val="20"/>
          <w:szCs w:val="20"/>
          <w:lang w:val="en-US"/>
        </w:rPr>
      </w:pPr>
      <w:r w:rsidRPr="00C9136F">
        <w:rPr>
          <w:rFonts w:ascii="Palatino Linotype" w:hAnsi="Palatino Linotype"/>
          <w:sz w:val="20"/>
          <w:szCs w:val="20"/>
          <w:lang w:val="en-US"/>
        </w:rPr>
        <w:t>Baseline + strong beams only: Baseline QC plus restriction to strong/high-energy beams (beam subset defined in a data-driven manner using per-beam sensitivity statistics; full details and beam lists are available in the public Zenodo repository).</w:t>
      </w:r>
    </w:p>
    <w:p w14:paraId="7378AE88" w14:textId="5F757126" w:rsidR="002D5968" w:rsidRPr="00B4700B" w:rsidRDefault="002D5968" w:rsidP="00F559CB">
      <w:pPr>
        <w:pStyle w:val="PargrafodaLista"/>
        <w:numPr>
          <w:ilvl w:val="0"/>
          <w:numId w:val="8"/>
        </w:numPr>
        <w:rPr>
          <w:rFonts w:ascii="Palatino Linotype" w:hAnsi="Palatino Linotype"/>
          <w:sz w:val="20"/>
          <w:szCs w:val="20"/>
          <w:lang w:val="en-US"/>
        </w:rPr>
      </w:pPr>
      <w:r w:rsidRPr="00B4700B">
        <w:rPr>
          <w:rFonts w:ascii="Palatino Linotype" w:hAnsi="Palatino Linotype"/>
          <w:sz w:val="20"/>
          <w:szCs w:val="20"/>
          <w:lang w:val="en-US"/>
        </w:rPr>
        <w:t>Baseline + night-only: Baseline QC plus restriction to nighttime acquisitions (solar_elevation ≤ 0 for both L2B and L4A).</w:t>
      </w:r>
    </w:p>
    <w:p w14:paraId="7BA532A9" w14:textId="77777777" w:rsidR="002D5968" w:rsidRPr="00B4700B" w:rsidRDefault="002D5968" w:rsidP="00F559CB">
      <w:pPr>
        <w:pStyle w:val="PargrafodaLista"/>
        <w:numPr>
          <w:ilvl w:val="0"/>
          <w:numId w:val="8"/>
        </w:numPr>
        <w:rPr>
          <w:rFonts w:ascii="Palatino Linotype" w:hAnsi="Palatino Linotype"/>
          <w:sz w:val="20"/>
          <w:szCs w:val="20"/>
          <w:lang w:val="en-US"/>
        </w:rPr>
      </w:pPr>
      <w:r w:rsidRPr="00B4700B">
        <w:rPr>
          <w:rFonts w:ascii="Palatino Linotype" w:hAnsi="Palatino Linotype"/>
          <w:sz w:val="20"/>
          <w:szCs w:val="20"/>
          <w:lang w:val="en-US"/>
        </w:rPr>
        <w:lastRenderedPageBreak/>
        <w:t>Baseline + low AGBD uncertainty (best 90%): Baseline QC plus restriction to the lowest-uncertainty AGBD shots, retaining the best 90% based on AGBD uncertainty metrics (AGBD_SE and/or AGBD prediction-interval width, when available).</w:t>
      </w:r>
    </w:p>
    <w:p w14:paraId="19899E37" w14:textId="77777777" w:rsidR="000A5380" w:rsidRPr="00992A48" w:rsidRDefault="000A5380" w:rsidP="000A5380">
      <w:pPr>
        <w:rPr>
          <w:rFonts w:ascii="Palatino Linotype" w:hAnsi="Palatino Linotype"/>
          <w:lang w:val="en-US"/>
        </w:rPr>
      </w:pPr>
    </w:p>
    <w:p w14:paraId="495241C4" w14:textId="4060CC42" w:rsidR="002D5968" w:rsidRDefault="000A5380" w:rsidP="000A5380">
      <w:pPr>
        <w:ind w:firstLine="708"/>
        <w:rPr>
          <w:rFonts w:ascii="Palatino Linotype" w:hAnsi="Palatino Linotype"/>
          <w:sz w:val="20"/>
          <w:szCs w:val="20"/>
          <w:lang w:val="en-US"/>
        </w:rPr>
      </w:pPr>
      <w:r w:rsidRPr="00B4700B">
        <w:rPr>
          <w:rFonts w:ascii="Palatino Linotype" w:hAnsi="Palatino Linotype"/>
          <w:sz w:val="20"/>
          <w:szCs w:val="20"/>
          <w:lang w:val="en-US"/>
        </w:rPr>
        <w:t>Median polygon-level Kruskal–Wallis p-values and effect sizes (</w:t>
      </w:r>
      <w:r w:rsidRPr="00B4700B">
        <w:rPr>
          <w:rFonts w:ascii="Palatino Linotype" w:hAnsi="Palatino Linotype"/>
          <w:i/>
          <w:iCs/>
          <w:sz w:val="20"/>
          <w:szCs w:val="20"/>
          <w:lang w:val="en-US"/>
        </w:rPr>
        <w:t>ε</w:t>
      </w:r>
      <w:r w:rsidRPr="00B4700B">
        <w:rPr>
          <w:rFonts w:ascii="Palatino Linotype" w:hAnsi="Palatino Linotype"/>
          <w:sz w:val="20"/>
          <w:szCs w:val="20"/>
          <w:lang w:val="en-US"/>
        </w:rPr>
        <w:t>²) across QC and acquisition scenarios.</w:t>
      </w:r>
    </w:p>
    <w:p w14:paraId="64560D45" w14:textId="77777777" w:rsidR="00B4700B" w:rsidRPr="00B4700B" w:rsidRDefault="00B4700B" w:rsidP="000A5380">
      <w:pPr>
        <w:ind w:firstLine="708"/>
        <w:rPr>
          <w:rFonts w:ascii="Palatino Linotype" w:hAnsi="Palatino Linotype"/>
          <w:sz w:val="20"/>
          <w:szCs w:val="20"/>
          <w:lang w:val="en-US"/>
        </w:rPr>
      </w:pPr>
    </w:p>
    <w:p w14:paraId="6D1BBC49" w14:textId="77777777" w:rsidR="00B4700B" w:rsidRPr="00B4700B" w:rsidRDefault="00B4700B" w:rsidP="00B4700B">
      <w:pPr>
        <w:ind w:firstLine="0"/>
        <w:rPr>
          <w:rFonts w:ascii="Palatino Linotype" w:hAnsi="Palatino Linotype"/>
          <w:sz w:val="18"/>
          <w:szCs w:val="18"/>
          <w:lang w:val="en-US"/>
        </w:rPr>
      </w:pPr>
      <w:r w:rsidRPr="00B4700B">
        <w:rPr>
          <w:rFonts w:ascii="Palatino Linotype" w:hAnsi="Palatino Linotype"/>
          <w:b/>
          <w:bCs/>
          <w:sz w:val="18"/>
          <w:szCs w:val="18"/>
          <w:lang w:val="en-US"/>
        </w:rPr>
        <w:t>Table S3a.</w:t>
      </w:r>
      <w:r w:rsidRPr="00B4700B">
        <w:rPr>
          <w:rFonts w:ascii="Palatino Linotype" w:hAnsi="Palatino Linotype"/>
          <w:sz w:val="18"/>
          <w:szCs w:val="18"/>
          <w:lang w:val="en-US"/>
        </w:rPr>
        <w:t xml:space="preserve"> Polygon-level Kruskal-Wallis results by scenario.</w:t>
      </w:r>
    </w:p>
    <w:bookmarkStart w:id="5" w:name="_MON_1834688648"/>
    <w:bookmarkEnd w:id="5"/>
    <w:p w14:paraId="63245367" w14:textId="11091518" w:rsidR="003D0F4E" w:rsidRPr="00992A48" w:rsidRDefault="00992A48" w:rsidP="00F559CB">
      <w:pPr>
        <w:ind w:firstLine="0"/>
        <w:rPr>
          <w:rFonts w:ascii="Palatino Linotype" w:hAnsi="Palatino Linotype"/>
          <w:lang w:val="en-US"/>
        </w:rPr>
      </w:pPr>
      <w:r w:rsidRPr="00992A48">
        <w:rPr>
          <w:rFonts w:ascii="Palatino Linotype" w:hAnsi="Palatino Linotype"/>
          <w:b/>
          <w:bCs/>
          <w:lang w:val="en-US"/>
        </w:rPr>
        <w:object w:dxaOrig="11398" w:dyaOrig="10145" w14:anchorId="03A09101">
          <v:shape id="_x0000_i1029" type="#_x0000_t75" style="width:492pt;height:437.45pt" o:ole="">
            <v:imagedata r:id="rId24" o:title=""/>
          </v:shape>
          <o:OLEObject Type="Embed" ProgID="Excel.Sheet.12" ShapeID="_x0000_i1029" DrawAspect="Content" ObjectID="_1842559741" r:id="rId25"/>
        </w:object>
      </w:r>
    </w:p>
    <w:p w14:paraId="16F131E7" w14:textId="1D82486C" w:rsidR="003D0F4E" w:rsidRPr="00992A48" w:rsidRDefault="003D0F4E" w:rsidP="00F559CB">
      <w:pPr>
        <w:ind w:firstLine="0"/>
        <w:rPr>
          <w:rFonts w:ascii="Palatino Linotype" w:hAnsi="Palatino Linotype"/>
          <w:lang w:val="en-US"/>
        </w:rPr>
        <w:sectPr w:rsidR="003D0F4E" w:rsidRPr="00992A48" w:rsidSect="003D0F4E">
          <w:pgSz w:w="11906" w:h="16838"/>
          <w:pgMar w:top="1417" w:right="1416" w:bottom="1417" w:left="1134" w:header="708" w:footer="708" w:gutter="0"/>
          <w:cols w:space="708"/>
          <w:docGrid w:linePitch="360"/>
        </w:sectPr>
      </w:pPr>
      <w:r w:rsidRPr="00B4700B">
        <w:rPr>
          <w:rFonts w:ascii="Palatino Linotype" w:hAnsi="Palatino Linotype"/>
          <w:b/>
          <w:bCs/>
          <w:sz w:val="20"/>
          <w:szCs w:val="20"/>
          <w:lang w:val="en-US"/>
        </w:rPr>
        <w:t xml:space="preserve">Note: </w:t>
      </w:r>
      <w:r w:rsidR="000A5380" w:rsidRPr="00B4700B">
        <w:rPr>
          <w:rFonts w:ascii="Palatino Linotype" w:hAnsi="Palatino Linotype"/>
          <w:sz w:val="20"/>
          <w:szCs w:val="20"/>
          <w:lang w:val="en-US"/>
        </w:rPr>
        <w:t>Results were computed using polygon-level summaries (median GEDI metric per polygon) with bootstrap resampling of polygons. Δ</w:t>
      </w:r>
      <w:r w:rsidR="000A5380" w:rsidRPr="00B4700B">
        <w:rPr>
          <w:rFonts w:ascii="Palatino Linotype" w:hAnsi="Palatino Linotype"/>
          <w:i/>
          <w:iCs/>
          <w:sz w:val="20"/>
          <w:szCs w:val="20"/>
          <w:lang w:val="en-US"/>
        </w:rPr>
        <w:t>ε</w:t>
      </w:r>
      <w:r w:rsidR="000A5380" w:rsidRPr="00B4700B">
        <w:rPr>
          <w:rFonts w:ascii="Palatino Linotype" w:hAnsi="Palatino Linotype"/>
          <w:sz w:val="20"/>
          <w:szCs w:val="20"/>
          <w:lang w:val="en-US"/>
        </w:rPr>
        <w:t xml:space="preserve">² is defined as </w:t>
      </w:r>
      <w:r w:rsidR="000A5380" w:rsidRPr="00B4700B">
        <w:rPr>
          <w:rFonts w:ascii="Palatino Linotype" w:hAnsi="Palatino Linotype"/>
          <w:i/>
          <w:iCs/>
          <w:sz w:val="20"/>
          <w:szCs w:val="20"/>
          <w:lang w:val="en-US"/>
        </w:rPr>
        <w:t>ε</w:t>
      </w:r>
      <w:r w:rsidR="000A5380" w:rsidRPr="00B4700B">
        <w:rPr>
          <w:rFonts w:ascii="Palatino Linotype" w:hAnsi="Palatino Linotype"/>
          <w:sz w:val="20"/>
          <w:szCs w:val="20"/>
          <w:lang w:val="en-US"/>
        </w:rPr>
        <w:t xml:space="preserve">²_scenario − </w:t>
      </w:r>
      <w:r w:rsidR="000A5380" w:rsidRPr="00B4700B">
        <w:rPr>
          <w:rFonts w:ascii="Palatino Linotype" w:hAnsi="Palatino Linotype"/>
          <w:i/>
          <w:iCs/>
          <w:sz w:val="20"/>
          <w:szCs w:val="20"/>
          <w:lang w:val="en-US"/>
        </w:rPr>
        <w:t>ε</w:t>
      </w:r>
      <w:r w:rsidR="000A5380" w:rsidRPr="00B4700B">
        <w:rPr>
          <w:rFonts w:ascii="Palatino Linotype" w:hAnsi="Palatino Linotype"/>
          <w:sz w:val="20"/>
          <w:szCs w:val="20"/>
          <w:lang w:val="en-US"/>
        </w:rPr>
        <w:t>²_baseline. Metrics include H, AGBD, PAI, COVER, and FHD.</w:t>
      </w:r>
    </w:p>
    <w:p w14:paraId="39E3B953" w14:textId="77777777" w:rsidR="00B4700B" w:rsidRPr="00B4700B" w:rsidRDefault="00B4700B" w:rsidP="00B4700B">
      <w:pPr>
        <w:ind w:firstLine="708"/>
        <w:rPr>
          <w:rFonts w:ascii="Palatino Linotype" w:hAnsi="Palatino Linotype"/>
          <w:sz w:val="20"/>
          <w:szCs w:val="20"/>
          <w:lang w:val="en-US"/>
        </w:rPr>
      </w:pPr>
      <w:r w:rsidRPr="00B4700B">
        <w:rPr>
          <w:rFonts w:ascii="Palatino Linotype" w:hAnsi="Palatino Linotype"/>
          <w:sz w:val="20"/>
          <w:szCs w:val="20"/>
          <w:lang w:val="en-US"/>
        </w:rPr>
        <w:lastRenderedPageBreak/>
        <w:t>Summary of changes in polygon-level separability (Δ</w:t>
      </w:r>
      <w:r w:rsidRPr="00B4700B">
        <w:rPr>
          <w:rFonts w:ascii="Palatino Linotype" w:hAnsi="Palatino Linotype"/>
          <w:i/>
          <w:iCs/>
          <w:sz w:val="20"/>
          <w:szCs w:val="20"/>
          <w:lang w:val="en-US"/>
        </w:rPr>
        <w:t>ε</w:t>
      </w:r>
      <w:r w:rsidRPr="00B4700B">
        <w:rPr>
          <w:rFonts w:ascii="Palatino Linotype" w:hAnsi="Palatino Linotype"/>
          <w:sz w:val="20"/>
          <w:szCs w:val="20"/>
          <w:lang w:val="en-US"/>
        </w:rPr>
        <w:t>²) across QC and acquisition scenarios, aggregated across the five structural metrics.</w:t>
      </w:r>
    </w:p>
    <w:p w14:paraId="4D467735" w14:textId="77777777" w:rsidR="00B4700B" w:rsidRDefault="00B4700B" w:rsidP="00F559CB">
      <w:pPr>
        <w:ind w:firstLine="0"/>
        <w:rPr>
          <w:rFonts w:ascii="Palatino Linotype" w:hAnsi="Palatino Linotype"/>
          <w:b/>
          <w:bCs/>
          <w:lang w:val="en-US"/>
        </w:rPr>
      </w:pPr>
    </w:p>
    <w:p w14:paraId="60AD0383" w14:textId="70497626" w:rsidR="007E24A0" w:rsidRPr="00B4700B" w:rsidRDefault="006844B5" w:rsidP="00F559CB">
      <w:pPr>
        <w:ind w:firstLine="0"/>
        <w:rPr>
          <w:rFonts w:ascii="Palatino Linotype" w:hAnsi="Palatino Linotype"/>
          <w:b/>
          <w:bCs/>
          <w:sz w:val="18"/>
          <w:szCs w:val="18"/>
          <w:lang w:val="en-US"/>
        </w:rPr>
      </w:pPr>
      <w:r w:rsidRPr="00B4700B">
        <w:rPr>
          <w:rFonts w:ascii="Palatino Linotype" w:hAnsi="Palatino Linotype"/>
          <w:b/>
          <w:bCs/>
          <w:sz w:val="18"/>
          <w:szCs w:val="18"/>
          <w:lang w:val="en-US"/>
        </w:rPr>
        <w:t>Table S</w:t>
      </w:r>
      <w:r w:rsidR="001D615E" w:rsidRPr="00B4700B">
        <w:rPr>
          <w:rFonts w:ascii="Palatino Linotype" w:hAnsi="Palatino Linotype"/>
          <w:b/>
          <w:bCs/>
          <w:sz w:val="18"/>
          <w:szCs w:val="18"/>
          <w:lang w:val="en-US"/>
        </w:rPr>
        <w:t>3</w:t>
      </w:r>
      <w:r w:rsidR="003D0F4E" w:rsidRPr="00B4700B">
        <w:rPr>
          <w:rFonts w:ascii="Palatino Linotype" w:hAnsi="Palatino Linotype"/>
          <w:b/>
          <w:bCs/>
          <w:sz w:val="18"/>
          <w:szCs w:val="18"/>
          <w:lang w:val="en-US"/>
        </w:rPr>
        <w:t>b</w:t>
      </w:r>
      <w:r w:rsidR="00642259" w:rsidRPr="00B4700B">
        <w:rPr>
          <w:rFonts w:ascii="Palatino Linotype" w:hAnsi="Palatino Linotype"/>
          <w:b/>
          <w:bCs/>
          <w:sz w:val="18"/>
          <w:szCs w:val="18"/>
          <w:lang w:val="en-US"/>
        </w:rPr>
        <w:t>.</w:t>
      </w:r>
      <w:r w:rsidR="00966431" w:rsidRPr="00B4700B">
        <w:rPr>
          <w:rFonts w:ascii="Palatino Linotype" w:hAnsi="Palatino Linotype"/>
          <w:b/>
          <w:bCs/>
          <w:sz w:val="18"/>
          <w:szCs w:val="18"/>
          <w:lang w:val="en-US"/>
        </w:rPr>
        <w:t xml:space="preserve"> </w:t>
      </w:r>
      <w:r w:rsidR="00966431" w:rsidRPr="00B4700B">
        <w:rPr>
          <w:rFonts w:ascii="Palatino Linotype" w:hAnsi="Palatino Linotype"/>
          <w:sz w:val="18"/>
          <w:szCs w:val="18"/>
          <w:lang w:val="en-US"/>
        </w:rPr>
        <w:t>Scenario-level summary of Δ</w:t>
      </w:r>
      <w:r w:rsidR="00966431" w:rsidRPr="00B4700B">
        <w:rPr>
          <w:rFonts w:ascii="Palatino Linotype" w:hAnsi="Palatino Linotype"/>
          <w:i/>
          <w:iCs/>
          <w:sz w:val="18"/>
          <w:szCs w:val="18"/>
          <w:lang w:val="en-US"/>
        </w:rPr>
        <w:t>ε</w:t>
      </w:r>
      <w:r w:rsidR="00966431" w:rsidRPr="00B4700B">
        <w:rPr>
          <w:rFonts w:ascii="Palatino Linotype" w:hAnsi="Palatino Linotype"/>
          <w:sz w:val="18"/>
          <w:szCs w:val="18"/>
          <w:lang w:val="en-US"/>
        </w:rPr>
        <w:t>² across metrics.</w:t>
      </w:r>
    </w:p>
    <w:bookmarkStart w:id="6" w:name="_MON_1834689341"/>
    <w:bookmarkEnd w:id="6"/>
    <w:p w14:paraId="33BCC852" w14:textId="60A61FC1" w:rsidR="003D0F4E" w:rsidRPr="00992A48" w:rsidRDefault="00B4700B" w:rsidP="000A5380">
      <w:pPr>
        <w:ind w:firstLine="0"/>
        <w:jc w:val="center"/>
        <w:rPr>
          <w:rFonts w:ascii="Palatino Linotype" w:hAnsi="Palatino Linotype"/>
          <w:lang w:val="en-US"/>
        </w:rPr>
      </w:pPr>
      <w:r w:rsidRPr="00992A48">
        <w:rPr>
          <w:rFonts w:ascii="Palatino Linotype" w:hAnsi="Palatino Linotype"/>
          <w:lang w:val="en-US"/>
        </w:rPr>
        <w:object w:dxaOrig="6156" w:dyaOrig="2484" w14:anchorId="3474E37A">
          <v:shape id="_x0000_i1056" type="#_x0000_t75" style="width:246pt;height:99.8pt" o:ole="">
            <v:imagedata r:id="rId26" o:title=""/>
          </v:shape>
          <o:OLEObject Type="Embed" ProgID="Excel.Sheet.12" ShapeID="_x0000_i1056" DrawAspect="Content" ObjectID="_1842559742" r:id="rId27"/>
        </w:object>
      </w:r>
    </w:p>
    <w:p w14:paraId="7DA7FD7A" w14:textId="750CD7F6" w:rsidR="003D0F4E" w:rsidRPr="00992A48" w:rsidRDefault="003D0F4E" w:rsidP="00F559CB">
      <w:pPr>
        <w:spacing w:after="160"/>
        <w:ind w:firstLine="0"/>
        <w:rPr>
          <w:rFonts w:ascii="Palatino Linotype" w:hAnsi="Palatino Linotype"/>
          <w:b/>
          <w:bCs/>
          <w:lang w:val="en-US"/>
        </w:rPr>
      </w:pPr>
      <w:r w:rsidRPr="00B4700B">
        <w:rPr>
          <w:rFonts w:ascii="Palatino Linotype" w:hAnsi="Palatino Linotype"/>
          <w:b/>
          <w:bCs/>
          <w:sz w:val="20"/>
          <w:szCs w:val="20"/>
          <w:lang w:val="en-US"/>
        </w:rPr>
        <w:t xml:space="preserve">Note: </w:t>
      </w:r>
      <w:r w:rsidR="000A5380" w:rsidRPr="00B4700B">
        <w:rPr>
          <w:rFonts w:ascii="Palatino Linotype" w:hAnsi="Palatino Linotype"/>
          <w:sz w:val="20"/>
          <w:szCs w:val="20"/>
          <w:lang w:val="en-US"/>
        </w:rPr>
        <w:t>For each scenario, Δ</w:t>
      </w:r>
      <w:r w:rsidR="000A5380" w:rsidRPr="00B4700B">
        <w:rPr>
          <w:rFonts w:ascii="Palatino Linotype" w:hAnsi="Palatino Linotype"/>
          <w:i/>
          <w:iCs/>
          <w:sz w:val="20"/>
          <w:szCs w:val="20"/>
          <w:lang w:val="en-US"/>
        </w:rPr>
        <w:t>ε</w:t>
      </w:r>
      <w:r w:rsidR="000A5380" w:rsidRPr="00B4700B">
        <w:rPr>
          <w:rFonts w:ascii="Palatino Linotype" w:hAnsi="Palatino Linotype"/>
          <w:sz w:val="20"/>
          <w:szCs w:val="20"/>
          <w:lang w:val="en-US"/>
        </w:rPr>
        <w:t>² is summarized across H, AGBD, PAI, COVER, and FHD using the median, minimum, and maximum values relative to the baseline scenario. Positive Δ</w:t>
      </w:r>
      <w:r w:rsidR="000A5380" w:rsidRPr="00B4700B">
        <w:rPr>
          <w:rFonts w:ascii="Palatino Linotype" w:hAnsi="Palatino Linotype"/>
          <w:i/>
          <w:iCs/>
          <w:sz w:val="20"/>
          <w:szCs w:val="20"/>
          <w:lang w:val="en-US"/>
        </w:rPr>
        <w:t>ε</w:t>
      </w:r>
      <w:r w:rsidR="000A5380" w:rsidRPr="00B4700B">
        <w:rPr>
          <w:rFonts w:ascii="Palatino Linotype" w:hAnsi="Palatino Linotype"/>
          <w:sz w:val="20"/>
          <w:szCs w:val="20"/>
          <w:lang w:val="en-US"/>
        </w:rPr>
        <w:t>² indicates greater between-physiognomy separability than baseline, whereas negative Δ</w:t>
      </w:r>
      <w:r w:rsidR="000A5380" w:rsidRPr="00B4700B">
        <w:rPr>
          <w:rFonts w:ascii="Palatino Linotype" w:hAnsi="Palatino Linotype"/>
          <w:i/>
          <w:iCs/>
          <w:sz w:val="20"/>
          <w:szCs w:val="20"/>
          <w:lang w:val="en-US"/>
        </w:rPr>
        <w:t>ε</w:t>
      </w:r>
      <w:r w:rsidR="000A5380" w:rsidRPr="00B4700B">
        <w:rPr>
          <w:rFonts w:ascii="Palatino Linotype" w:hAnsi="Palatino Linotype"/>
          <w:sz w:val="20"/>
          <w:szCs w:val="20"/>
          <w:lang w:val="en-US"/>
        </w:rPr>
        <w:t>² indicates reduced separability.</w:t>
      </w:r>
      <w:r w:rsidRPr="00992A48">
        <w:rPr>
          <w:rFonts w:ascii="Palatino Linotype" w:hAnsi="Palatino Linotype"/>
          <w:b/>
          <w:bCs/>
          <w:lang w:val="en-US"/>
        </w:rPr>
        <w:br w:type="page"/>
      </w:r>
    </w:p>
    <w:p w14:paraId="0F976E4E" w14:textId="77777777" w:rsidR="000A5380" w:rsidRDefault="000A5380" w:rsidP="000A5380">
      <w:pPr>
        <w:spacing w:after="160"/>
        <w:ind w:firstLine="708"/>
        <w:rPr>
          <w:rFonts w:ascii="Palatino Linotype" w:hAnsi="Palatino Linotype"/>
          <w:sz w:val="20"/>
          <w:szCs w:val="20"/>
          <w:lang w:val="en-US"/>
        </w:rPr>
      </w:pPr>
      <w:r w:rsidRPr="00B4700B">
        <w:rPr>
          <w:rFonts w:ascii="Palatino Linotype" w:hAnsi="Palatino Linotype"/>
          <w:sz w:val="20"/>
          <w:szCs w:val="20"/>
          <w:lang w:val="en-US"/>
        </w:rPr>
        <w:lastRenderedPageBreak/>
        <w:t>Summary of the robustness of pairwise physiognomy contrasts across QC and acquisition scenarios based on polygon-level Dunn effect sizes (</w:t>
      </w:r>
      <w:r w:rsidRPr="00B4700B">
        <w:rPr>
          <w:rFonts w:ascii="Palatino Linotype" w:hAnsi="Palatino Linotype"/>
          <w:i/>
          <w:iCs/>
          <w:sz w:val="20"/>
          <w:szCs w:val="20"/>
          <w:lang w:val="en-US"/>
        </w:rPr>
        <w:t>r</w:t>
      </w:r>
      <w:r w:rsidRPr="00B4700B">
        <w:rPr>
          <w:rFonts w:ascii="Palatino Linotype" w:hAnsi="Palatino Linotype"/>
          <w:sz w:val="20"/>
          <w:szCs w:val="20"/>
          <w:lang w:val="en-US"/>
        </w:rPr>
        <w:t>) and the proportion of significant bootstrap replicates (prop_sig).</w:t>
      </w:r>
    </w:p>
    <w:p w14:paraId="649708FD" w14:textId="77777777" w:rsidR="00B4700B" w:rsidRPr="00B4700B" w:rsidRDefault="00B4700B" w:rsidP="00B4700B">
      <w:pPr>
        <w:ind w:firstLine="0"/>
        <w:rPr>
          <w:rFonts w:ascii="Palatino Linotype" w:hAnsi="Palatino Linotype"/>
          <w:b/>
          <w:bCs/>
          <w:sz w:val="18"/>
          <w:szCs w:val="18"/>
          <w:lang w:val="en-US"/>
        </w:rPr>
      </w:pPr>
      <w:r w:rsidRPr="00B4700B">
        <w:rPr>
          <w:rFonts w:ascii="Palatino Linotype" w:hAnsi="Palatino Linotype"/>
          <w:b/>
          <w:bCs/>
          <w:sz w:val="18"/>
          <w:szCs w:val="18"/>
          <w:lang w:val="en-US"/>
        </w:rPr>
        <w:t xml:space="preserve">Table S4. </w:t>
      </w:r>
      <w:r w:rsidRPr="00B4700B">
        <w:rPr>
          <w:rFonts w:ascii="Palatino Linotype" w:hAnsi="Palatino Linotype"/>
          <w:sz w:val="18"/>
          <w:szCs w:val="18"/>
          <w:lang w:val="en-US"/>
        </w:rPr>
        <w:t xml:space="preserve">Robustness of pairwise physiognomy separation across scenarios (polygon-level Dunn effect size, </w:t>
      </w:r>
      <w:r w:rsidRPr="00B4700B">
        <w:rPr>
          <w:rFonts w:ascii="Palatino Linotype" w:hAnsi="Palatino Linotype"/>
          <w:i/>
          <w:iCs/>
          <w:sz w:val="18"/>
          <w:szCs w:val="18"/>
          <w:lang w:val="en-US"/>
        </w:rPr>
        <w:t>r</w:t>
      </w:r>
      <w:r w:rsidRPr="00B4700B">
        <w:rPr>
          <w:rFonts w:ascii="Palatino Linotype" w:hAnsi="Palatino Linotype"/>
          <w:sz w:val="18"/>
          <w:szCs w:val="18"/>
          <w:lang w:val="en-US"/>
        </w:rPr>
        <w:t>).</w:t>
      </w:r>
    </w:p>
    <w:bookmarkStart w:id="7" w:name="_MON_1834751558"/>
    <w:bookmarkEnd w:id="7"/>
    <w:p w14:paraId="6F185A42" w14:textId="3C246849" w:rsidR="00300EF3" w:rsidRPr="00992A48" w:rsidRDefault="00992A48" w:rsidP="00F559CB">
      <w:pPr>
        <w:spacing w:after="160"/>
        <w:ind w:firstLine="0"/>
        <w:rPr>
          <w:rFonts w:ascii="Palatino Linotype" w:hAnsi="Palatino Linotype"/>
          <w:lang w:val="en-US"/>
        </w:rPr>
      </w:pPr>
      <w:r w:rsidRPr="00992A48">
        <w:rPr>
          <w:rFonts w:ascii="Palatino Linotype" w:hAnsi="Palatino Linotype"/>
          <w:lang w:val="en-US"/>
        </w:rPr>
        <w:object w:dxaOrig="10445" w:dyaOrig="8955" w14:anchorId="057FBC35">
          <v:shape id="_x0000_i1031" type="#_x0000_t75" style="width:423.25pt;height:361.65pt" o:ole="">
            <v:imagedata r:id="rId28" o:title=""/>
          </v:shape>
          <o:OLEObject Type="Embed" ProgID="Excel.Sheet.12" ShapeID="_x0000_i1031" DrawAspect="Content" ObjectID="_1842559743" r:id="rId29"/>
        </w:object>
      </w:r>
    </w:p>
    <w:p w14:paraId="7D3CC60D" w14:textId="270785BC" w:rsidR="00B4700B" w:rsidRDefault="00300EF3" w:rsidP="00C9136F">
      <w:pPr>
        <w:spacing w:after="160"/>
        <w:ind w:firstLine="0"/>
        <w:rPr>
          <w:rFonts w:ascii="Palatino Linotype" w:hAnsi="Palatino Linotype"/>
          <w:b/>
          <w:bCs/>
          <w:lang w:val="en-US"/>
        </w:rPr>
      </w:pPr>
      <w:r w:rsidRPr="00B4700B">
        <w:rPr>
          <w:rFonts w:ascii="Palatino Linotype" w:hAnsi="Palatino Linotype"/>
          <w:b/>
          <w:bCs/>
          <w:sz w:val="20"/>
          <w:szCs w:val="20"/>
          <w:lang w:val="en-US"/>
        </w:rPr>
        <w:t>Note</w:t>
      </w:r>
      <w:r w:rsidRPr="00B4700B">
        <w:rPr>
          <w:rFonts w:ascii="Palatino Linotype" w:hAnsi="Palatino Linotype"/>
          <w:sz w:val="20"/>
          <w:szCs w:val="20"/>
          <w:lang w:val="en-US"/>
        </w:rPr>
        <w:t xml:space="preserve">: </w:t>
      </w:r>
      <w:r w:rsidR="000A5380" w:rsidRPr="00B4700B">
        <w:rPr>
          <w:rFonts w:ascii="Palatino Linotype" w:hAnsi="Palatino Linotype"/>
          <w:sz w:val="20"/>
          <w:szCs w:val="20"/>
          <w:lang w:val="en-US"/>
        </w:rPr>
        <w:t xml:space="preserve">Results are based on polygon-level summaries (median GEDI metric per polygon) with bootstrap resampling of polygons (n_boot = 2,000). To keep the Supplementary Information concise, this table reports a compact subset of key contrasts and Bonferroni-adjusted results. </w:t>
      </w:r>
      <w:r w:rsidR="00C9136F" w:rsidRPr="00C9136F">
        <w:rPr>
          <w:rFonts w:ascii="Palatino Linotype" w:hAnsi="Palatino Linotype"/>
          <w:sz w:val="20"/>
          <w:szCs w:val="20"/>
          <w:lang w:val="en-US"/>
        </w:rPr>
        <w:t>Complete scenario-wise Dunn outputs and Δr relative to baseline are available in the public Zenodo repository.</w:t>
      </w:r>
    </w:p>
    <w:sectPr w:rsidR="00B4700B" w:rsidSect="00300EF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elo Bandoria" w:date="2026-06-09T22:01:00Z" w:initials="MB">
    <w:p w14:paraId="14B2B869" w14:textId="630C70EA" w:rsidR="00C9136F" w:rsidRPr="00C9136F" w:rsidRDefault="00C9136F">
      <w:pPr>
        <w:pStyle w:val="Textodecomentrio"/>
        <w:rPr>
          <w:lang w:val="en-US"/>
        </w:rPr>
      </w:pPr>
      <w:r>
        <w:rPr>
          <w:rStyle w:val="Refdecomentrio"/>
        </w:rPr>
        <w:annotationRef/>
      </w:r>
      <w:r w:rsidRPr="00C9136F">
        <w:rPr>
          <w:lang w:val="en-US"/>
        </w:rPr>
        <w:t>[ED] The supplementary file was revised to align with the revised manuscript and the public repository structure. Supplementary Data 1 was removed as a separate Excel supplementary item because the complete scenario-wise outputs, processing logs, full correlation tables, Dunn pairwise results, and effect-size deltas are available through the public Zenodo repository. The supplementary file now contains only Supplementary Methods S1–S4, Supplementary Figures S1–S2, and Supplementary Tables S1a–S1b, S2a–S2b, S3a–S3b, and S4.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B2B8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5B6F6D" w16cex:dateUtc="2026-06-10T0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B2B869" w16cid:durableId="705B6F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032C9" w14:textId="77777777" w:rsidR="0066150D" w:rsidRDefault="0066150D" w:rsidP="00300EF3">
      <w:pPr>
        <w:spacing w:line="240" w:lineRule="auto"/>
      </w:pPr>
      <w:r>
        <w:separator/>
      </w:r>
    </w:p>
  </w:endnote>
  <w:endnote w:type="continuationSeparator" w:id="0">
    <w:p w14:paraId="7F693653" w14:textId="77777777" w:rsidR="0066150D" w:rsidRDefault="0066150D" w:rsidP="00300E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952615"/>
      <w:docPartObj>
        <w:docPartGallery w:val="Page Numbers (Bottom of Page)"/>
        <w:docPartUnique/>
      </w:docPartObj>
    </w:sdtPr>
    <w:sdtEndPr>
      <w:rPr>
        <w:noProof/>
      </w:rPr>
    </w:sdtEndPr>
    <w:sdtContent>
      <w:p w14:paraId="0B0EB895" w14:textId="1477FDA8" w:rsidR="00300EF3" w:rsidRDefault="00300EF3">
        <w:pPr>
          <w:pStyle w:val="Rodap"/>
          <w:jc w:val="right"/>
        </w:pPr>
        <w:r>
          <w:fldChar w:fldCharType="begin"/>
        </w:r>
        <w:r>
          <w:instrText xml:space="preserve"> PAGE   \* MERGEFORMAT </w:instrText>
        </w:r>
        <w:r>
          <w:fldChar w:fldCharType="separate"/>
        </w:r>
        <w:r>
          <w:rPr>
            <w:noProof/>
          </w:rPr>
          <w:t>2</w:t>
        </w:r>
        <w:r>
          <w:rPr>
            <w:noProof/>
          </w:rPr>
          <w:fldChar w:fldCharType="end"/>
        </w:r>
      </w:p>
    </w:sdtContent>
  </w:sdt>
  <w:p w14:paraId="75BE1164" w14:textId="77777777" w:rsidR="00300EF3" w:rsidRDefault="00300EF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2958C" w14:textId="77777777" w:rsidR="0066150D" w:rsidRDefault="0066150D" w:rsidP="00300EF3">
      <w:pPr>
        <w:spacing w:line="240" w:lineRule="auto"/>
      </w:pPr>
      <w:r>
        <w:separator/>
      </w:r>
    </w:p>
  </w:footnote>
  <w:footnote w:type="continuationSeparator" w:id="0">
    <w:p w14:paraId="5570455E" w14:textId="77777777" w:rsidR="0066150D" w:rsidRDefault="0066150D" w:rsidP="00300E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CEB"/>
    <w:multiLevelType w:val="multilevel"/>
    <w:tmpl w:val="7B1ED386"/>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A520C5"/>
    <w:multiLevelType w:val="hybridMultilevel"/>
    <w:tmpl w:val="CBF28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D497C"/>
    <w:multiLevelType w:val="hybridMultilevel"/>
    <w:tmpl w:val="B4EE9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227D4"/>
    <w:multiLevelType w:val="multilevel"/>
    <w:tmpl w:val="D57C6EA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E8233A5"/>
    <w:multiLevelType w:val="hybridMultilevel"/>
    <w:tmpl w:val="EE942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4B4005"/>
    <w:multiLevelType w:val="hybridMultilevel"/>
    <w:tmpl w:val="6D4EA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E84DA7"/>
    <w:multiLevelType w:val="hybridMultilevel"/>
    <w:tmpl w:val="9DE4B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904519"/>
    <w:multiLevelType w:val="hybridMultilevel"/>
    <w:tmpl w:val="1400C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A73BBB"/>
    <w:multiLevelType w:val="hybridMultilevel"/>
    <w:tmpl w:val="7BE68D1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1373965992">
    <w:abstractNumId w:val="0"/>
  </w:num>
  <w:num w:numId="2" w16cid:durableId="929774228">
    <w:abstractNumId w:val="3"/>
  </w:num>
  <w:num w:numId="3" w16cid:durableId="2074808717">
    <w:abstractNumId w:val="3"/>
  </w:num>
  <w:num w:numId="4" w16cid:durableId="403380438">
    <w:abstractNumId w:val="3"/>
  </w:num>
  <w:num w:numId="5" w16cid:durableId="1049955650">
    <w:abstractNumId w:val="3"/>
  </w:num>
  <w:num w:numId="6" w16cid:durableId="1598515554">
    <w:abstractNumId w:val="2"/>
  </w:num>
  <w:num w:numId="7" w16cid:durableId="1870488968">
    <w:abstractNumId w:val="6"/>
  </w:num>
  <w:num w:numId="8" w16cid:durableId="976224581">
    <w:abstractNumId w:val="8"/>
  </w:num>
  <w:num w:numId="9" w16cid:durableId="1152136280">
    <w:abstractNumId w:val="5"/>
  </w:num>
  <w:num w:numId="10" w16cid:durableId="391972968">
    <w:abstractNumId w:val="4"/>
  </w:num>
  <w:num w:numId="11" w16cid:durableId="799958346">
    <w:abstractNumId w:val="1"/>
  </w:num>
  <w:num w:numId="12" w16cid:durableId="54907501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Bandoria">
    <w15:presenceInfo w15:providerId="Windows Live" w15:userId="00ca9ad5bb3218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4B5"/>
    <w:rsid w:val="0000296A"/>
    <w:rsid w:val="000A5380"/>
    <w:rsid w:val="000B6D41"/>
    <w:rsid w:val="000E4B7A"/>
    <w:rsid w:val="00195848"/>
    <w:rsid w:val="001A4D84"/>
    <w:rsid w:val="001D615E"/>
    <w:rsid w:val="002662E1"/>
    <w:rsid w:val="0028790D"/>
    <w:rsid w:val="002912EB"/>
    <w:rsid w:val="002B36D9"/>
    <w:rsid w:val="002D5968"/>
    <w:rsid w:val="00300EF3"/>
    <w:rsid w:val="003D0F4E"/>
    <w:rsid w:val="004420E7"/>
    <w:rsid w:val="004637FB"/>
    <w:rsid w:val="00495857"/>
    <w:rsid w:val="004B5839"/>
    <w:rsid w:val="004D5BE1"/>
    <w:rsid w:val="005312EB"/>
    <w:rsid w:val="0059005A"/>
    <w:rsid w:val="005B219A"/>
    <w:rsid w:val="005B7D65"/>
    <w:rsid w:val="005E0FCB"/>
    <w:rsid w:val="006113BB"/>
    <w:rsid w:val="0062332D"/>
    <w:rsid w:val="00642259"/>
    <w:rsid w:val="006566D6"/>
    <w:rsid w:val="0066150D"/>
    <w:rsid w:val="006844B5"/>
    <w:rsid w:val="0069492E"/>
    <w:rsid w:val="006B58EB"/>
    <w:rsid w:val="006C5012"/>
    <w:rsid w:val="006F1C17"/>
    <w:rsid w:val="007333AB"/>
    <w:rsid w:val="00783D1D"/>
    <w:rsid w:val="007A126B"/>
    <w:rsid w:val="007E24A0"/>
    <w:rsid w:val="008170D1"/>
    <w:rsid w:val="009423EB"/>
    <w:rsid w:val="00953F5F"/>
    <w:rsid w:val="00966431"/>
    <w:rsid w:val="00992A48"/>
    <w:rsid w:val="00A17045"/>
    <w:rsid w:val="00A749CF"/>
    <w:rsid w:val="00AB2A16"/>
    <w:rsid w:val="00AC0917"/>
    <w:rsid w:val="00B46008"/>
    <w:rsid w:val="00B4700B"/>
    <w:rsid w:val="00B96CEB"/>
    <w:rsid w:val="00C357A3"/>
    <w:rsid w:val="00C813D2"/>
    <w:rsid w:val="00C85C31"/>
    <w:rsid w:val="00C9136F"/>
    <w:rsid w:val="00CC09F6"/>
    <w:rsid w:val="00CD4CBE"/>
    <w:rsid w:val="00CD5FBC"/>
    <w:rsid w:val="00D314A7"/>
    <w:rsid w:val="00D9287B"/>
    <w:rsid w:val="00DA7FEE"/>
    <w:rsid w:val="00DD11E0"/>
    <w:rsid w:val="00E169D5"/>
    <w:rsid w:val="00E20679"/>
    <w:rsid w:val="00E244D1"/>
    <w:rsid w:val="00EC42CD"/>
    <w:rsid w:val="00F52D86"/>
    <w:rsid w:val="00F559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D9D6"/>
  <w15:chartTrackingRefBased/>
  <w15:docId w15:val="{F6572AA4-5A89-460B-B6EC-1C015B0A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_ABNT"/>
    <w:qFormat/>
    <w:rsid w:val="007A126B"/>
    <w:pPr>
      <w:spacing w:after="0" w:line="360" w:lineRule="auto"/>
      <w:ind w:firstLine="709"/>
      <w:jc w:val="both"/>
    </w:pPr>
    <w:rPr>
      <w:rFonts w:ascii="Times New Roman" w:hAnsi="Times New Roman" w:cs="Times New Roman"/>
      <w:kern w:val="0"/>
      <w:sz w:val="24"/>
      <w:szCs w:val="24"/>
      <w14:ligatures w14:val="none"/>
    </w:rPr>
  </w:style>
  <w:style w:type="paragraph" w:styleId="Ttulo1">
    <w:name w:val="heading 1"/>
    <w:basedOn w:val="Normal"/>
    <w:next w:val="Normal"/>
    <w:link w:val="Ttulo1Char"/>
    <w:uiPriority w:val="9"/>
    <w:qFormat/>
    <w:rsid w:val="00C357A3"/>
    <w:pPr>
      <w:keepNext/>
      <w:keepLines/>
      <w:pageBreakBefore/>
      <w:numPr>
        <w:numId w:val="5"/>
      </w:numPr>
      <w:spacing w:after="120"/>
      <w:outlineLvl w:val="0"/>
    </w:pPr>
    <w:rPr>
      <w:rFonts w:eastAsia="Times New Roman"/>
      <w:b/>
      <w:bCs/>
      <w:caps/>
      <w:color w:val="000000" w:themeColor="text1"/>
      <w:kern w:val="2"/>
      <w:szCs w:val="28"/>
      <w14:ligatures w14:val="standardContextual"/>
    </w:rPr>
  </w:style>
  <w:style w:type="paragraph" w:styleId="Ttulo2">
    <w:name w:val="heading 2"/>
    <w:basedOn w:val="Normal"/>
    <w:next w:val="Normal"/>
    <w:link w:val="Ttulo2Char"/>
    <w:autoRedefine/>
    <w:uiPriority w:val="9"/>
    <w:unhideWhenUsed/>
    <w:rsid w:val="00C357A3"/>
    <w:pPr>
      <w:numPr>
        <w:ilvl w:val="1"/>
        <w:numId w:val="5"/>
      </w:numPr>
      <w:spacing w:before="360" w:after="80" w:line="276" w:lineRule="auto"/>
      <w:outlineLvl w:val="1"/>
    </w:pPr>
    <w:rPr>
      <w:rFonts w:cs="Calibri"/>
      <w:szCs w:val="36"/>
    </w:rPr>
  </w:style>
  <w:style w:type="paragraph" w:styleId="Ttulo3">
    <w:name w:val="heading 3"/>
    <w:basedOn w:val="Normal"/>
    <w:next w:val="Normal"/>
    <w:link w:val="Ttulo3Char"/>
    <w:uiPriority w:val="9"/>
    <w:unhideWhenUsed/>
    <w:qFormat/>
    <w:rsid w:val="00C357A3"/>
    <w:pPr>
      <w:keepNext/>
      <w:keepLines/>
      <w:numPr>
        <w:ilvl w:val="2"/>
        <w:numId w:val="1"/>
      </w:numPr>
      <w:spacing w:before="120" w:after="120"/>
      <w:ind w:left="720" w:hanging="720"/>
      <w:outlineLvl w:val="2"/>
    </w:pPr>
    <w:rPr>
      <w:rFonts w:eastAsia="Times New Roman"/>
      <w:b/>
      <w:bCs/>
      <w:color w:val="000000" w:themeColor="text1"/>
      <w:kern w:val="2"/>
      <w14:ligatures w14:val="standardContextual"/>
    </w:rPr>
  </w:style>
  <w:style w:type="paragraph" w:styleId="Ttulo4">
    <w:name w:val="heading 4"/>
    <w:basedOn w:val="Normal"/>
    <w:next w:val="Normal"/>
    <w:link w:val="Ttulo4Char"/>
    <w:autoRedefine/>
    <w:uiPriority w:val="9"/>
    <w:unhideWhenUsed/>
    <w:qFormat/>
    <w:rsid w:val="00C357A3"/>
    <w:pPr>
      <w:keepNext/>
      <w:keepLines/>
      <w:numPr>
        <w:ilvl w:val="3"/>
        <w:numId w:val="5"/>
      </w:numPr>
      <w:spacing w:before="120" w:after="120"/>
      <w:outlineLvl w:val="3"/>
    </w:pPr>
    <w:rPr>
      <w:rFonts w:eastAsiaTheme="majorEastAsia" w:cstheme="majorBidi"/>
      <w:bCs/>
      <w:iCs/>
      <w:color w:val="000000" w:themeColor="text1"/>
      <w:kern w:val="2"/>
      <w14:ligatures w14:val="standardContextual"/>
    </w:rPr>
  </w:style>
  <w:style w:type="paragraph" w:styleId="Ttulo5">
    <w:name w:val="heading 5"/>
    <w:basedOn w:val="Normal"/>
    <w:next w:val="Normal"/>
    <w:link w:val="Ttulo5Char"/>
    <w:uiPriority w:val="9"/>
    <w:semiHidden/>
    <w:unhideWhenUsed/>
    <w:qFormat/>
    <w:rsid w:val="006844B5"/>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har"/>
    <w:uiPriority w:val="9"/>
    <w:unhideWhenUsed/>
    <w:qFormat/>
    <w:rsid w:val="007A126B"/>
    <w:pPr>
      <w:keepNext/>
      <w:keepLines/>
      <w:numPr>
        <w:ilvl w:val="5"/>
        <w:numId w:val="5"/>
      </w:numPr>
      <w:spacing w:before="200"/>
      <w:outlineLvl w:val="5"/>
    </w:pPr>
    <w:rPr>
      <w:rFonts w:eastAsiaTheme="majorEastAsia" w:cstheme="majorBidi"/>
      <w:i/>
      <w:iCs/>
      <w:color w:val="000000" w:themeColor="text1"/>
      <w:kern w:val="2"/>
      <w14:ligatures w14:val="standardContextual"/>
    </w:rPr>
  </w:style>
  <w:style w:type="paragraph" w:styleId="Ttulo7">
    <w:name w:val="heading 7"/>
    <w:basedOn w:val="Normal"/>
    <w:next w:val="Normal"/>
    <w:link w:val="Ttulo7Char"/>
    <w:uiPriority w:val="9"/>
    <w:semiHidden/>
    <w:unhideWhenUsed/>
    <w:qFormat/>
    <w:rsid w:val="006844B5"/>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6844B5"/>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6844B5"/>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6F1C17"/>
    <w:rPr>
      <w:rFonts w:ascii="Times New Roman" w:eastAsia="Calibri" w:hAnsi="Times New Roman" w:cs="Calibri"/>
      <w:sz w:val="24"/>
      <w:szCs w:val="36"/>
    </w:rPr>
  </w:style>
  <w:style w:type="character" w:customStyle="1" w:styleId="Ttulo1Char">
    <w:name w:val="Título 1 Char"/>
    <w:basedOn w:val="Fontepargpadro"/>
    <w:link w:val="Ttulo1"/>
    <w:uiPriority w:val="9"/>
    <w:rsid w:val="007A126B"/>
    <w:rPr>
      <w:rFonts w:ascii="Times New Roman" w:eastAsia="Times New Roman" w:hAnsi="Times New Roman" w:cs="Times New Roman"/>
      <w:b/>
      <w:bCs/>
      <w:caps/>
      <w:color w:val="000000" w:themeColor="text1"/>
      <w:sz w:val="24"/>
      <w:szCs w:val="28"/>
    </w:rPr>
  </w:style>
  <w:style w:type="character" w:customStyle="1" w:styleId="Ttulo4Char">
    <w:name w:val="Título 4 Char"/>
    <w:basedOn w:val="Fontepargpadro"/>
    <w:link w:val="Ttulo4"/>
    <w:uiPriority w:val="9"/>
    <w:rsid w:val="007A126B"/>
    <w:rPr>
      <w:rFonts w:ascii="Times New Roman" w:eastAsiaTheme="majorEastAsia" w:hAnsi="Times New Roman" w:cstheme="majorBidi"/>
      <w:bCs/>
      <w:iCs/>
      <w:color w:val="000000" w:themeColor="text1"/>
      <w:sz w:val="24"/>
      <w:szCs w:val="24"/>
    </w:rPr>
  </w:style>
  <w:style w:type="character" w:customStyle="1" w:styleId="Ttulo6Char">
    <w:name w:val="Título 6 Char"/>
    <w:basedOn w:val="Fontepargpadro"/>
    <w:link w:val="Ttulo6"/>
    <w:uiPriority w:val="9"/>
    <w:rsid w:val="007A126B"/>
    <w:rPr>
      <w:rFonts w:ascii="Times New Roman" w:eastAsiaTheme="majorEastAsia" w:hAnsi="Times New Roman" w:cstheme="majorBidi"/>
      <w:i/>
      <w:iCs/>
      <w:color w:val="000000" w:themeColor="text1"/>
      <w:sz w:val="24"/>
      <w:szCs w:val="24"/>
    </w:rPr>
  </w:style>
  <w:style w:type="character" w:customStyle="1" w:styleId="Ttulo3Char">
    <w:name w:val="Título 3 Char"/>
    <w:basedOn w:val="Fontepargpadro"/>
    <w:link w:val="Ttulo3"/>
    <w:uiPriority w:val="9"/>
    <w:rsid w:val="00C357A3"/>
    <w:rPr>
      <w:rFonts w:ascii="Times New Roman" w:eastAsia="Times New Roman" w:hAnsi="Times New Roman" w:cs="Times New Roman"/>
      <w:b/>
      <w:bCs/>
      <w:color w:val="000000" w:themeColor="text1"/>
      <w:sz w:val="24"/>
      <w:szCs w:val="24"/>
    </w:rPr>
  </w:style>
  <w:style w:type="character" w:customStyle="1" w:styleId="Ttulo5Char">
    <w:name w:val="Título 5 Char"/>
    <w:basedOn w:val="Fontepargpadro"/>
    <w:link w:val="Ttulo5"/>
    <w:uiPriority w:val="9"/>
    <w:semiHidden/>
    <w:rsid w:val="006844B5"/>
    <w:rPr>
      <w:rFonts w:eastAsiaTheme="majorEastAsia" w:cstheme="majorBidi"/>
      <w:color w:val="2F5496" w:themeColor="accent1" w:themeShade="BF"/>
      <w:kern w:val="0"/>
      <w:sz w:val="24"/>
      <w:szCs w:val="24"/>
      <w14:ligatures w14:val="none"/>
    </w:rPr>
  </w:style>
  <w:style w:type="character" w:customStyle="1" w:styleId="Ttulo7Char">
    <w:name w:val="Título 7 Char"/>
    <w:basedOn w:val="Fontepargpadro"/>
    <w:link w:val="Ttulo7"/>
    <w:uiPriority w:val="9"/>
    <w:semiHidden/>
    <w:rsid w:val="006844B5"/>
    <w:rPr>
      <w:rFonts w:eastAsiaTheme="majorEastAsia" w:cstheme="majorBidi"/>
      <w:color w:val="595959" w:themeColor="text1" w:themeTint="A6"/>
      <w:kern w:val="0"/>
      <w:sz w:val="24"/>
      <w:szCs w:val="24"/>
      <w14:ligatures w14:val="none"/>
    </w:rPr>
  </w:style>
  <w:style w:type="character" w:customStyle="1" w:styleId="Ttulo8Char">
    <w:name w:val="Título 8 Char"/>
    <w:basedOn w:val="Fontepargpadro"/>
    <w:link w:val="Ttulo8"/>
    <w:uiPriority w:val="9"/>
    <w:semiHidden/>
    <w:rsid w:val="006844B5"/>
    <w:rPr>
      <w:rFonts w:eastAsiaTheme="majorEastAsia" w:cstheme="majorBidi"/>
      <w:i/>
      <w:iCs/>
      <w:color w:val="272727" w:themeColor="text1" w:themeTint="D8"/>
      <w:kern w:val="0"/>
      <w:sz w:val="24"/>
      <w:szCs w:val="24"/>
      <w14:ligatures w14:val="none"/>
    </w:rPr>
  </w:style>
  <w:style w:type="character" w:customStyle="1" w:styleId="Ttulo9Char">
    <w:name w:val="Título 9 Char"/>
    <w:basedOn w:val="Fontepargpadro"/>
    <w:link w:val="Ttulo9"/>
    <w:uiPriority w:val="9"/>
    <w:semiHidden/>
    <w:rsid w:val="006844B5"/>
    <w:rPr>
      <w:rFonts w:eastAsiaTheme="majorEastAsia" w:cstheme="majorBidi"/>
      <w:color w:val="272727" w:themeColor="text1" w:themeTint="D8"/>
      <w:kern w:val="0"/>
      <w:sz w:val="24"/>
      <w:szCs w:val="24"/>
      <w14:ligatures w14:val="none"/>
    </w:rPr>
  </w:style>
  <w:style w:type="paragraph" w:styleId="Ttulo">
    <w:name w:val="Title"/>
    <w:basedOn w:val="Normal"/>
    <w:next w:val="Normal"/>
    <w:link w:val="TtuloChar"/>
    <w:uiPriority w:val="10"/>
    <w:qFormat/>
    <w:rsid w:val="00684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844B5"/>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har"/>
    <w:uiPriority w:val="11"/>
    <w:qFormat/>
    <w:rsid w:val="006844B5"/>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844B5"/>
    <w:rPr>
      <w:rFonts w:eastAsiaTheme="majorEastAsia" w:cstheme="majorBidi"/>
      <w:color w:val="595959" w:themeColor="text1" w:themeTint="A6"/>
      <w:spacing w:val="15"/>
      <w:kern w:val="0"/>
      <w:sz w:val="28"/>
      <w:szCs w:val="28"/>
      <w14:ligatures w14:val="none"/>
    </w:rPr>
  </w:style>
  <w:style w:type="paragraph" w:styleId="Citao">
    <w:name w:val="Quote"/>
    <w:basedOn w:val="Normal"/>
    <w:next w:val="Normal"/>
    <w:link w:val="CitaoChar"/>
    <w:uiPriority w:val="29"/>
    <w:qFormat/>
    <w:rsid w:val="006844B5"/>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6844B5"/>
    <w:rPr>
      <w:rFonts w:ascii="Times New Roman" w:hAnsi="Times New Roman" w:cs="Times New Roman"/>
      <w:i/>
      <w:iCs/>
      <w:color w:val="404040" w:themeColor="text1" w:themeTint="BF"/>
      <w:kern w:val="0"/>
      <w:sz w:val="24"/>
      <w:szCs w:val="24"/>
      <w14:ligatures w14:val="none"/>
    </w:rPr>
  </w:style>
  <w:style w:type="paragraph" w:styleId="PargrafodaLista">
    <w:name w:val="List Paragraph"/>
    <w:basedOn w:val="Normal"/>
    <w:uiPriority w:val="34"/>
    <w:qFormat/>
    <w:rsid w:val="006844B5"/>
    <w:pPr>
      <w:ind w:left="720"/>
      <w:contextualSpacing/>
    </w:pPr>
  </w:style>
  <w:style w:type="character" w:styleId="nfaseIntensa">
    <w:name w:val="Intense Emphasis"/>
    <w:basedOn w:val="Fontepargpadro"/>
    <w:uiPriority w:val="21"/>
    <w:qFormat/>
    <w:rsid w:val="006844B5"/>
    <w:rPr>
      <w:i/>
      <w:iCs/>
      <w:color w:val="2F5496" w:themeColor="accent1" w:themeShade="BF"/>
    </w:rPr>
  </w:style>
  <w:style w:type="paragraph" w:styleId="CitaoIntensa">
    <w:name w:val="Intense Quote"/>
    <w:basedOn w:val="Normal"/>
    <w:next w:val="Normal"/>
    <w:link w:val="CitaoIntensaChar"/>
    <w:uiPriority w:val="30"/>
    <w:qFormat/>
    <w:rsid w:val="006844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844B5"/>
    <w:rPr>
      <w:rFonts w:ascii="Times New Roman" w:hAnsi="Times New Roman" w:cs="Times New Roman"/>
      <w:i/>
      <w:iCs/>
      <w:color w:val="2F5496" w:themeColor="accent1" w:themeShade="BF"/>
      <w:kern w:val="0"/>
      <w:sz w:val="24"/>
      <w:szCs w:val="24"/>
      <w14:ligatures w14:val="none"/>
    </w:rPr>
  </w:style>
  <w:style w:type="character" w:styleId="RefernciaIntensa">
    <w:name w:val="Intense Reference"/>
    <w:basedOn w:val="Fontepargpadro"/>
    <w:uiPriority w:val="32"/>
    <w:qFormat/>
    <w:rsid w:val="006844B5"/>
    <w:rPr>
      <w:b/>
      <w:bCs/>
      <w:smallCaps/>
      <w:color w:val="2F5496" w:themeColor="accent1" w:themeShade="BF"/>
      <w:spacing w:val="5"/>
    </w:rPr>
  </w:style>
  <w:style w:type="paragraph" w:styleId="Cabealho">
    <w:name w:val="header"/>
    <w:basedOn w:val="Normal"/>
    <w:link w:val="CabealhoChar"/>
    <w:uiPriority w:val="99"/>
    <w:unhideWhenUsed/>
    <w:rsid w:val="00300EF3"/>
    <w:pPr>
      <w:tabs>
        <w:tab w:val="center" w:pos="4252"/>
        <w:tab w:val="right" w:pos="8504"/>
      </w:tabs>
      <w:spacing w:line="240" w:lineRule="auto"/>
    </w:pPr>
  </w:style>
  <w:style w:type="character" w:customStyle="1" w:styleId="CabealhoChar">
    <w:name w:val="Cabeçalho Char"/>
    <w:basedOn w:val="Fontepargpadro"/>
    <w:link w:val="Cabealho"/>
    <w:uiPriority w:val="99"/>
    <w:rsid w:val="00300EF3"/>
    <w:rPr>
      <w:rFonts w:ascii="Times New Roman" w:hAnsi="Times New Roman" w:cs="Times New Roman"/>
      <w:kern w:val="0"/>
      <w:sz w:val="24"/>
      <w:szCs w:val="24"/>
      <w14:ligatures w14:val="none"/>
    </w:rPr>
  </w:style>
  <w:style w:type="paragraph" w:styleId="Rodap">
    <w:name w:val="footer"/>
    <w:basedOn w:val="Normal"/>
    <w:link w:val="RodapChar"/>
    <w:uiPriority w:val="99"/>
    <w:unhideWhenUsed/>
    <w:rsid w:val="00300EF3"/>
    <w:pPr>
      <w:tabs>
        <w:tab w:val="center" w:pos="4252"/>
        <w:tab w:val="right" w:pos="8504"/>
      </w:tabs>
      <w:spacing w:line="240" w:lineRule="auto"/>
    </w:pPr>
  </w:style>
  <w:style w:type="character" w:customStyle="1" w:styleId="RodapChar">
    <w:name w:val="Rodapé Char"/>
    <w:basedOn w:val="Fontepargpadro"/>
    <w:link w:val="Rodap"/>
    <w:uiPriority w:val="99"/>
    <w:rsid w:val="00300EF3"/>
    <w:rPr>
      <w:rFonts w:ascii="Times New Roman" w:hAnsi="Times New Roman" w:cs="Times New Roman"/>
      <w:kern w:val="0"/>
      <w:sz w:val="24"/>
      <w:szCs w:val="24"/>
      <w14:ligatures w14:val="none"/>
    </w:rPr>
  </w:style>
  <w:style w:type="character" w:styleId="Hyperlink">
    <w:name w:val="Hyperlink"/>
    <w:basedOn w:val="Fontepargpadro"/>
    <w:uiPriority w:val="99"/>
    <w:unhideWhenUsed/>
    <w:rsid w:val="001A4D84"/>
    <w:rPr>
      <w:color w:val="0563C1" w:themeColor="hyperlink"/>
      <w:u w:val="single"/>
    </w:rPr>
  </w:style>
  <w:style w:type="character" w:styleId="MenoPendente">
    <w:name w:val="Unresolved Mention"/>
    <w:basedOn w:val="Fontepargpadro"/>
    <w:uiPriority w:val="99"/>
    <w:semiHidden/>
    <w:unhideWhenUsed/>
    <w:rsid w:val="001A4D84"/>
    <w:rPr>
      <w:color w:val="605E5C"/>
      <w:shd w:val="clear" w:color="auto" w:fill="E1DFDD"/>
    </w:rPr>
  </w:style>
  <w:style w:type="character" w:styleId="HiperlinkVisitado">
    <w:name w:val="FollowedHyperlink"/>
    <w:basedOn w:val="Fontepargpadro"/>
    <w:uiPriority w:val="99"/>
    <w:semiHidden/>
    <w:unhideWhenUsed/>
    <w:rsid w:val="001A4D84"/>
    <w:rPr>
      <w:color w:val="954F72" w:themeColor="followedHyperlink"/>
      <w:u w:val="single"/>
    </w:rPr>
  </w:style>
  <w:style w:type="character" w:styleId="Refdecomentrio">
    <w:name w:val="annotation reference"/>
    <w:basedOn w:val="Fontepargpadro"/>
    <w:uiPriority w:val="99"/>
    <w:semiHidden/>
    <w:unhideWhenUsed/>
    <w:rsid w:val="00C9136F"/>
    <w:rPr>
      <w:sz w:val="16"/>
      <w:szCs w:val="16"/>
    </w:rPr>
  </w:style>
  <w:style w:type="paragraph" w:styleId="Textodecomentrio">
    <w:name w:val="annotation text"/>
    <w:basedOn w:val="Normal"/>
    <w:link w:val="TextodecomentrioChar"/>
    <w:uiPriority w:val="99"/>
    <w:semiHidden/>
    <w:unhideWhenUsed/>
    <w:rsid w:val="00C9136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9136F"/>
    <w:rPr>
      <w:rFonts w:ascii="Times New Roman" w:hAnsi="Times New Roman" w:cs="Times New Roman"/>
      <w:kern w:val="0"/>
      <w:sz w:val="20"/>
      <w:szCs w:val="20"/>
      <w14:ligatures w14:val="none"/>
    </w:rPr>
  </w:style>
  <w:style w:type="paragraph" w:styleId="Assuntodocomentrio">
    <w:name w:val="annotation subject"/>
    <w:basedOn w:val="Textodecomentrio"/>
    <w:next w:val="Textodecomentrio"/>
    <w:link w:val="AssuntodocomentrioChar"/>
    <w:uiPriority w:val="99"/>
    <w:semiHidden/>
    <w:unhideWhenUsed/>
    <w:rsid w:val="00C9136F"/>
    <w:rPr>
      <w:b/>
      <w:bCs/>
    </w:rPr>
  </w:style>
  <w:style w:type="character" w:customStyle="1" w:styleId="AssuntodocomentrioChar">
    <w:name w:val="Assunto do comentário Char"/>
    <w:basedOn w:val="TextodecomentrioChar"/>
    <w:link w:val="Assuntodocomentrio"/>
    <w:uiPriority w:val="99"/>
    <w:semiHidden/>
    <w:rsid w:val="00C9136F"/>
    <w:rPr>
      <w:rFonts w:ascii="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image" Target="media/image4.emf"/><Relationship Id="rId26" Type="http://schemas.openxmlformats.org/officeDocument/2006/relationships/image" Target="media/image8.emf"/><Relationship Id="rId3" Type="http://schemas.openxmlformats.org/officeDocument/2006/relationships/settings" Target="settings.xml"/><Relationship Id="rId21" Type="http://schemas.openxmlformats.org/officeDocument/2006/relationships/package" Target="embeddings/Microsoft_Excel_Worksheet2.xlsx"/><Relationship Id="rId7" Type="http://schemas.openxmlformats.org/officeDocument/2006/relationships/comments" Target="comments.xml"/><Relationship Id="rId12" Type="http://schemas.openxmlformats.org/officeDocument/2006/relationships/hyperlink" Target="https://github.com/marcelobandoria/GEDI_Atlantic_Forest_MDPI_repository" TargetMode="External"/><Relationship Id="rId17" Type="http://schemas.openxmlformats.org/officeDocument/2006/relationships/package" Target="embeddings/Microsoft_Excel_Worksheet.xlsx"/><Relationship Id="rId25" Type="http://schemas.openxmlformats.org/officeDocument/2006/relationships/package" Target="embeddings/Microsoft_Excel_Worksheet4.xlsx"/><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package" Target="embeddings/Microsoft_Excel_Worksheet6.xls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20403257%20" TargetMode="External"/><Relationship Id="rId24" Type="http://schemas.openxmlformats.org/officeDocument/2006/relationships/image" Target="media/image7.emf"/><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package" Target="embeddings/Microsoft_Excel_Worksheet3.xlsx"/><Relationship Id="rId28" Type="http://schemas.openxmlformats.org/officeDocument/2006/relationships/image" Target="media/image9.emf"/><Relationship Id="rId10" Type="http://schemas.microsoft.com/office/2018/08/relationships/commentsExtensible" Target="commentsExtensible.xml"/><Relationship Id="rId19" Type="http://schemas.openxmlformats.org/officeDocument/2006/relationships/package" Target="embeddings/Microsoft_Excel_Worksheet1.xlsx"/><Relationship Id="rId31"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 Id="rId22" Type="http://schemas.openxmlformats.org/officeDocument/2006/relationships/image" Target="media/image6.emf"/><Relationship Id="rId27" Type="http://schemas.openxmlformats.org/officeDocument/2006/relationships/package" Target="embeddings/Microsoft_Excel_Worksheet5.xlsx"/><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12</Pages>
  <Words>1871</Words>
  <Characters>10670</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Bandoria</dc:creator>
  <cp:keywords/>
  <dc:description/>
  <cp:lastModifiedBy>Marcelo Bandoria</cp:lastModifiedBy>
  <cp:revision>6</cp:revision>
  <dcterms:created xsi:type="dcterms:W3CDTF">2026-06-09T22:54:00Z</dcterms:created>
  <dcterms:modified xsi:type="dcterms:W3CDTF">2026-06-10T01:56:00Z</dcterms:modified>
</cp:coreProperties>
</file>