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06" w:rsidRDefault="00D41D06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D41D06" w:rsidRDefault="00D41D06">
      <w:pPr>
        <w:keepNext/>
        <w:keepLines/>
        <w:widowControl w:val="0"/>
      </w:pPr>
    </w:p>
    <w:p w:rsidR="00D41D06" w:rsidRDefault="00D41D06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20,0 mg de mebendazol/ml</w:t>
      </w:r>
    </w:p>
    <w:p w:rsidR="00D41D06" w:rsidRDefault="00D41D06">
      <w:pPr>
        <w:keepNext/>
        <w:keepLines/>
        <w:rPr>
          <w:rFonts w:ascii="Arial" w:hAnsi="Arial" w:cs="Arial"/>
        </w:rPr>
      </w:pPr>
    </w:p>
    <w:p w:rsidR="00D41D06" w:rsidRDefault="00D41D06">
      <w:pPr>
        <w:keepNext/>
        <w:keepLines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Volumen declarado</w:t>
      </w:r>
      <w:r>
        <w:rPr>
          <w:rFonts w:ascii="Arial" w:hAnsi="Arial" w:cs="Arial"/>
        </w:rPr>
        <w:t>: 30 y 250 ml/ frasco</w:t>
      </w:r>
      <w:r>
        <w:rPr>
          <w:rFonts w:ascii="Arial" w:hAnsi="Arial" w:cs="Arial"/>
          <w:u w:val="single"/>
        </w:rPr>
        <w:t xml:space="preserve"> </w:t>
      </w:r>
    </w:p>
    <w:p w:rsidR="00D41D06" w:rsidRDefault="00D41D06">
      <w:pPr>
        <w:keepNext/>
        <w:keepLines/>
        <w:rPr>
          <w:rFonts w:ascii="Arial" w:hAnsi="Arial" w:cs="Arial"/>
          <w:u w:val="single"/>
        </w:rPr>
      </w:pPr>
    </w:p>
    <w:p w:rsidR="00D41D06" w:rsidRDefault="00D41D06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40 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D41D06" w:rsidRDefault="00D41D06">
      <w:pPr>
        <w:keepNext/>
        <w:keepLines/>
        <w:widowControl w:val="0"/>
        <w:rPr>
          <w:rFonts w:ascii="Arial" w:hAnsi="Arial" w:cs="Arial"/>
        </w:rPr>
      </w:pPr>
    </w:p>
    <w:p w:rsidR="00D41D06" w:rsidRDefault="00D41D0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D41D06" w:rsidRDefault="00D41D06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D41D06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41D06" w:rsidRDefault="00D41D0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41D06" w:rsidRDefault="00D41D0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D41D06" w:rsidRDefault="00D41D0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D41D06" w:rsidRDefault="00D41D06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D41D06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Suspensión de color ligeramente amar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llento y olor característico.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D41D06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5,0 - 6,5</w:t>
            </w:r>
          </w:p>
        </w:tc>
        <w:tc>
          <w:tcPr>
            <w:tcW w:w="1008" w:type="pct"/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D41D06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Densidad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0,945 – 1,030 g/ml</w:t>
            </w:r>
          </w:p>
        </w:tc>
        <w:tc>
          <w:tcPr>
            <w:tcW w:w="1008" w:type="pct"/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51" w:type="pct"/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Propia</w:t>
            </w:r>
          </w:p>
        </w:tc>
      </w:tr>
      <w:tr w:rsidR="00D41D06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/>
              </w:rPr>
            </w:pPr>
          </w:p>
          <w:p w:rsidR="00D41D06" w:rsidRDefault="00D41D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Identific</w:t>
            </w:r>
            <w:r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Debe coincidir el Tr del pico principal de la muestra con el Tr del pico principal del testigo en el cromatograma obtenido.</w:t>
            </w:r>
          </w:p>
        </w:tc>
        <w:tc>
          <w:tcPr>
            <w:tcW w:w="1008" w:type="pct"/>
            <w:vAlign w:val="center"/>
          </w:tcPr>
          <w:p w:rsidR="00D41D06" w:rsidRDefault="00D41D06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D41D06" w:rsidRDefault="00D41D06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D41D06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18,00 - 22,00 mg de Mebendazol /ml</w:t>
            </w:r>
          </w:p>
          <w:p w:rsidR="00D41D06" w:rsidRDefault="00D41D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(90,0 - 110,0 % del valor declarado), según  Res. 396/75 SENASA</w:t>
            </w:r>
          </w:p>
        </w:tc>
        <w:tc>
          <w:tcPr>
            <w:tcW w:w="1008" w:type="pct"/>
            <w:vAlign w:val="center"/>
          </w:tcPr>
          <w:p w:rsidR="00D41D06" w:rsidRDefault="00D41D06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D41D06" w:rsidRDefault="00D41D06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</w:tbl>
    <w:p w:rsidR="00D41D06" w:rsidRDefault="00D41D06">
      <w:pPr>
        <w:keepNext/>
        <w:keepLines/>
        <w:widowControl w:val="0"/>
        <w:rPr>
          <w:rFonts w:ascii="Arial" w:hAnsi="Arial" w:cs="Arial"/>
        </w:rPr>
      </w:pPr>
    </w:p>
    <w:p w:rsidR="00D41D06" w:rsidRDefault="00D41D0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D41D06" w:rsidRDefault="00D41D06">
      <w:pPr>
        <w:keepNext/>
        <w:keepLines/>
        <w:widowControl w:val="0"/>
      </w:pPr>
    </w:p>
    <w:p w:rsidR="00D41D06" w:rsidRDefault="00D41D06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D41D06" w:rsidRDefault="00D41D06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D41D06" w:rsidRDefault="00D41D06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Microquím.</w:t>
      </w:r>
    </w:p>
    <w:p w:rsidR="00D41D06" w:rsidRDefault="00D41D0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D41D06" w:rsidRDefault="00D41D06">
      <w:pPr>
        <w:keepNext/>
        <w:keepLines/>
        <w:widowControl w:val="0"/>
        <w:rPr>
          <w:rFonts w:ascii="Arial" w:hAnsi="Arial" w:cs="Arial"/>
        </w:rPr>
      </w:pPr>
    </w:p>
    <w:p w:rsidR="00D41D06" w:rsidRDefault="00D41D06">
      <w:pPr>
        <w:keepNext/>
        <w:keepLines/>
        <w:widowControl w:val="0"/>
        <w:jc w:val="both"/>
      </w:pPr>
    </w:p>
    <w:sectPr w:rsidR="00D41D06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D06" w:rsidRDefault="00D41D06">
      <w:pPr>
        <w:pStyle w:val="Encabezado"/>
      </w:pPr>
      <w:r>
        <w:separator/>
      </w:r>
    </w:p>
  </w:endnote>
  <w:endnote w:type="continuationSeparator" w:id="0">
    <w:p w:rsidR="00D41D06" w:rsidRDefault="00D41D06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D41D06">
      <w:tc>
        <w:tcPr>
          <w:tcW w:w="2268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</w:p>
      </w:tc>
    </w:tr>
    <w:tr w:rsidR="00D41D06">
      <w:trPr>
        <w:trHeight w:val="1489"/>
      </w:trPr>
      <w:tc>
        <w:tcPr>
          <w:tcW w:w="2268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D41D06" w:rsidRDefault="00D41D06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D41D06" w:rsidRDefault="00D41D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D06" w:rsidRDefault="00D41D06">
      <w:pPr>
        <w:pStyle w:val="Encabezado"/>
      </w:pPr>
      <w:r>
        <w:separator/>
      </w:r>
    </w:p>
  </w:footnote>
  <w:footnote w:type="continuationSeparator" w:id="0">
    <w:p w:rsidR="00D41D06" w:rsidRDefault="00D41D06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06" w:rsidRDefault="00D41D06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D41D06">
      <w:trPr>
        <w:cantSplit/>
        <w:trHeight w:val="620"/>
      </w:trPr>
      <w:tc>
        <w:tcPr>
          <w:tcW w:w="2448" w:type="dxa"/>
          <w:vMerge w:val="restart"/>
        </w:tcPr>
        <w:p w:rsidR="00D41D06" w:rsidRDefault="00E20E6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41D06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MEBENDAZOL LAMAR SUSPENSION</w:t>
          </w:r>
        </w:p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PT028-00</w:t>
          </w:r>
        </w:p>
      </w:tc>
    </w:tr>
    <w:tr w:rsidR="00D41D06">
      <w:trPr>
        <w:cantSplit/>
        <w:trHeight w:val="620"/>
      </w:trPr>
      <w:tc>
        <w:tcPr>
          <w:tcW w:w="2448" w:type="dxa"/>
          <w:vMerge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D41D06" w:rsidRDefault="00D41D06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90561</w:t>
          </w:r>
        </w:p>
      </w:tc>
    </w:tr>
    <w:tr w:rsidR="00D41D06">
      <w:trPr>
        <w:cantSplit/>
        <w:trHeight w:val="620"/>
      </w:trPr>
      <w:tc>
        <w:tcPr>
          <w:tcW w:w="2448" w:type="dxa"/>
          <w:vMerge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D41D06" w:rsidRDefault="00D41D06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Interno</w:t>
          </w:r>
        </w:p>
      </w:tc>
    </w:tr>
    <w:tr w:rsidR="00D41D06">
      <w:trPr>
        <w:cantSplit/>
        <w:trHeight w:val="541"/>
      </w:trPr>
      <w:tc>
        <w:tcPr>
          <w:tcW w:w="2448" w:type="dxa"/>
          <w:vMerge/>
        </w:tcPr>
        <w:p w:rsidR="00D41D06" w:rsidRDefault="00D41D06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D41D06" w:rsidRDefault="00D41D06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E20E62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E20E62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D41D06" w:rsidRDefault="00D41D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A1D"/>
    <w:rsid w:val="00670A1D"/>
    <w:rsid w:val="00D41D06"/>
    <w:rsid w:val="00E2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374569-EDC1-4BA3-BFE8-0D1030FE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2008-05-16T14:08:00Z</cp:lastPrinted>
  <dcterms:created xsi:type="dcterms:W3CDTF">2026-07-17T01:24:00Z</dcterms:created>
  <dcterms:modified xsi:type="dcterms:W3CDTF">2026-07-17T01:24:00Z</dcterms:modified>
</cp:coreProperties>
</file>