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2A425D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2A425D">
      <w:pPr>
        <w:keepNext/>
      </w:pPr>
    </w:p>
    <w:p w:rsidR="006E79D0" w:rsidRPr="006E79D0" w:rsidRDefault="006E79D0" w:rsidP="002A425D">
      <w:pPr>
        <w:keepNext/>
        <w:numPr>
          <w:ilvl w:val="0"/>
          <w:numId w:val="15"/>
        </w:numPr>
        <w:rPr>
          <w:rFonts w:ascii="Arial" w:hAnsi="Arial" w:cs="Arial"/>
          <w:lang w:val="es-AR"/>
        </w:rPr>
      </w:pPr>
      <w:r w:rsidRPr="006E79D0">
        <w:rPr>
          <w:rFonts w:ascii="Arial" w:hAnsi="Arial" w:cs="Arial"/>
          <w:u w:val="single"/>
          <w:lang w:val="es-AR"/>
        </w:rPr>
        <w:t>Sinonimia:</w:t>
      </w:r>
      <w:r w:rsidRPr="006E79D0">
        <w:rPr>
          <w:rFonts w:ascii="Arial" w:hAnsi="Arial" w:cs="Arial"/>
          <w:lang w:val="es-AR"/>
        </w:rPr>
        <w:t xml:space="preserve"> Cefalexina </w:t>
      </w:r>
      <w:r w:rsidR="0014575B">
        <w:rPr>
          <w:rFonts w:ascii="Arial" w:hAnsi="Arial" w:cs="Arial"/>
          <w:lang w:val="es-AR"/>
        </w:rPr>
        <w:t>monohidrato compactada, Cefalexina monohidrato, Cefalexina.</w:t>
      </w:r>
    </w:p>
    <w:p w:rsidR="006E79D0" w:rsidRPr="006E79D0" w:rsidRDefault="006E79D0" w:rsidP="002A425D">
      <w:pPr>
        <w:keepNext/>
        <w:numPr>
          <w:ilvl w:val="0"/>
          <w:numId w:val="15"/>
        </w:numPr>
        <w:rPr>
          <w:rFonts w:ascii="Arial" w:hAnsi="Arial" w:cs="Arial"/>
          <w:lang w:val="es-AR"/>
        </w:rPr>
      </w:pPr>
      <w:r w:rsidRPr="006E79D0">
        <w:rPr>
          <w:rFonts w:ascii="Arial" w:hAnsi="Arial" w:cs="Arial"/>
          <w:u w:val="single"/>
          <w:lang w:val="es-AR"/>
        </w:rPr>
        <w:t>CAS N°:</w:t>
      </w:r>
      <w:r w:rsidRPr="006E79D0">
        <w:rPr>
          <w:rFonts w:ascii="Arial" w:hAnsi="Arial" w:cs="Arial"/>
          <w:lang w:val="es-AR"/>
        </w:rPr>
        <w:t xml:space="preserve"> [ </w:t>
      </w:r>
      <w:r w:rsidRPr="006E79D0">
        <w:rPr>
          <w:rFonts w:ascii="Arial" w:hAnsi="Arial" w:cs="Arial"/>
          <w:i/>
          <w:lang w:val="es-AR"/>
        </w:rPr>
        <w:t>23325-78-2</w:t>
      </w:r>
      <w:r w:rsidRPr="006E79D0">
        <w:rPr>
          <w:rFonts w:ascii="Arial" w:hAnsi="Arial" w:cs="Arial"/>
          <w:lang w:val="es-AR"/>
        </w:rPr>
        <w:t xml:space="preserve"> ]</w:t>
      </w:r>
    </w:p>
    <w:p w:rsidR="006E79D0" w:rsidRDefault="006E79D0" w:rsidP="002A425D">
      <w:pPr>
        <w:keepNext/>
        <w:numPr>
          <w:ilvl w:val="0"/>
          <w:numId w:val="15"/>
        </w:numPr>
        <w:rPr>
          <w:rFonts w:ascii="Arial" w:hAnsi="Arial" w:cs="Arial"/>
          <w:u w:val="single"/>
          <w:lang w:val="es-AR"/>
        </w:rPr>
      </w:pPr>
      <w:r w:rsidRPr="006E79D0">
        <w:rPr>
          <w:rFonts w:ascii="Arial" w:hAnsi="Arial" w:cs="Arial"/>
          <w:u w:val="single"/>
          <w:lang w:val="es-AR"/>
        </w:rPr>
        <w:t>Nombre químico:</w:t>
      </w:r>
    </w:p>
    <w:p w:rsidR="006E79D0" w:rsidRPr="002A425D" w:rsidRDefault="006E79D0" w:rsidP="002A425D">
      <w:pPr>
        <w:keepNext/>
        <w:numPr>
          <w:ilvl w:val="0"/>
          <w:numId w:val="17"/>
        </w:numPr>
        <w:jc w:val="both"/>
        <w:rPr>
          <w:rFonts w:ascii="Arial" w:hAnsi="Arial" w:cs="Arial"/>
          <w:u w:val="single"/>
          <w:lang w:val="es-AR"/>
        </w:rPr>
      </w:pPr>
      <w:r w:rsidRPr="006E79D0">
        <w:rPr>
          <w:rFonts w:ascii="Arial" w:hAnsi="Arial" w:cs="Arial"/>
          <w:lang w:val="es-AR"/>
        </w:rPr>
        <w:t>Según USP 30: Ácido (6R,</w:t>
      </w:r>
      <w:r w:rsidR="00DD0BAE">
        <w:rPr>
          <w:rFonts w:ascii="Arial" w:hAnsi="Arial" w:cs="Arial"/>
          <w:lang w:val="es-AR"/>
        </w:rPr>
        <w:t>7R)-7-[ (R)-2-amino-2-fenilaceta</w:t>
      </w:r>
      <w:r w:rsidR="0014575B">
        <w:rPr>
          <w:rFonts w:ascii="Arial" w:hAnsi="Arial" w:cs="Arial"/>
          <w:lang w:val="es-AR"/>
        </w:rPr>
        <w:t>m</w:t>
      </w:r>
      <w:r w:rsidRPr="006E79D0">
        <w:rPr>
          <w:rFonts w:ascii="Arial" w:hAnsi="Arial" w:cs="Arial"/>
          <w:lang w:val="es-AR"/>
        </w:rPr>
        <w:t>ido ]-3-metil-8-oxo-5-tia-1-azabic</w:t>
      </w:r>
      <w:r w:rsidR="0014575B">
        <w:rPr>
          <w:rFonts w:ascii="Arial" w:hAnsi="Arial" w:cs="Arial"/>
          <w:lang w:val="es-AR"/>
        </w:rPr>
        <w:t>iclo [4.2.0 ] oct-2-en-2-carboxí</w:t>
      </w:r>
      <w:r w:rsidRPr="006E79D0">
        <w:rPr>
          <w:rFonts w:ascii="Arial" w:hAnsi="Arial" w:cs="Arial"/>
          <w:lang w:val="es-AR"/>
        </w:rPr>
        <w:t>lico,</w:t>
      </w:r>
      <w:r w:rsidR="0014575B">
        <w:rPr>
          <w:rFonts w:ascii="Arial" w:hAnsi="Arial" w:cs="Arial"/>
          <w:lang w:val="es-AR"/>
        </w:rPr>
        <w:t xml:space="preserve"> </w:t>
      </w:r>
      <w:r w:rsidRPr="006E79D0">
        <w:rPr>
          <w:rFonts w:ascii="Arial" w:hAnsi="Arial" w:cs="Arial"/>
          <w:lang w:val="es-AR"/>
        </w:rPr>
        <w:t>monohidrato.</w:t>
      </w:r>
    </w:p>
    <w:p w:rsidR="002A425D" w:rsidRPr="006E79D0" w:rsidRDefault="002A425D" w:rsidP="002A425D">
      <w:pPr>
        <w:keepNext/>
        <w:ind w:left="720"/>
        <w:jc w:val="both"/>
        <w:rPr>
          <w:rFonts w:ascii="Arial" w:hAnsi="Arial" w:cs="Arial"/>
          <w:u w:val="single"/>
          <w:lang w:val="es-AR"/>
        </w:rPr>
      </w:pPr>
    </w:p>
    <w:p w:rsidR="006E79D0" w:rsidRPr="002A425D" w:rsidRDefault="006E79D0" w:rsidP="002A425D">
      <w:pPr>
        <w:keepNext/>
        <w:numPr>
          <w:ilvl w:val="0"/>
          <w:numId w:val="17"/>
        </w:numPr>
        <w:jc w:val="both"/>
        <w:rPr>
          <w:rFonts w:ascii="Arial" w:hAnsi="Arial" w:cs="Arial"/>
          <w:u w:val="single"/>
          <w:lang w:val="es-AR"/>
        </w:rPr>
      </w:pPr>
      <w:r w:rsidRPr="006E79D0">
        <w:rPr>
          <w:rFonts w:ascii="Arial" w:hAnsi="Arial" w:cs="Arial"/>
          <w:lang w:val="es-AR"/>
        </w:rPr>
        <w:t>Según</w:t>
      </w:r>
      <w:r w:rsidR="00DD0BAE">
        <w:rPr>
          <w:rFonts w:ascii="Arial" w:hAnsi="Arial" w:cs="Arial"/>
          <w:lang w:val="es-AR"/>
        </w:rPr>
        <w:t xml:space="preserve"> Eur. Ph. 4ª ed: (</w:t>
      </w:r>
      <w:r w:rsidRPr="006E79D0">
        <w:rPr>
          <w:rFonts w:ascii="Arial" w:hAnsi="Arial" w:cs="Arial"/>
          <w:lang w:val="es-AR"/>
        </w:rPr>
        <w:t>6R,7R) –7-[ [ (2R)-2-</w:t>
      </w:r>
      <w:r w:rsidR="00DD0BAE">
        <w:rPr>
          <w:rFonts w:ascii="Arial" w:hAnsi="Arial" w:cs="Arial"/>
          <w:lang w:val="es-AR"/>
        </w:rPr>
        <w:t>amino-2-</w:t>
      </w:r>
      <w:r w:rsidRPr="006E79D0">
        <w:rPr>
          <w:rFonts w:ascii="Arial" w:hAnsi="Arial" w:cs="Arial"/>
          <w:lang w:val="es-AR"/>
        </w:rPr>
        <w:t>phenylacetyl ]amino ]-3-methyl-8-oxo-5-thia-1-azabicyclo [ 4.2.0 ] oct-2-ene-2-carboxylic acid.</w:t>
      </w:r>
    </w:p>
    <w:p w:rsidR="002A425D" w:rsidRPr="006E79D0" w:rsidRDefault="002A425D" w:rsidP="002A425D">
      <w:pPr>
        <w:keepNext/>
        <w:jc w:val="both"/>
        <w:rPr>
          <w:rFonts w:ascii="Arial" w:hAnsi="Arial" w:cs="Arial"/>
          <w:u w:val="single"/>
          <w:lang w:val="es-AR"/>
        </w:rPr>
      </w:pPr>
    </w:p>
    <w:p w:rsidR="006E79D0" w:rsidRPr="006E79D0" w:rsidRDefault="006E79D0" w:rsidP="002A425D">
      <w:pPr>
        <w:keepNext/>
        <w:numPr>
          <w:ilvl w:val="0"/>
          <w:numId w:val="15"/>
        </w:numPr>
        <w:rPr>
          <w:rFonts w:ascii="Arial" w:hAnsi="Arial" w:cs="Arial"/>
          <w:lang w:val="es-AR"/>
        </w:rPr>
      </w:pPr>
      <w:r w:rsidRPr="006E79D0">
        <w:rPr>
          <w:rFonts w:ascii="Arial" w:hAnsi="Arial" w:cs="Arial"/>
          <w:u w:val="single"/>
          <w:lang w:val="es-AR"/>
        </w:rPr>
        <w:t>Fórmula molecular</w:t>
      </w:r>
      <w:r w:rsidRPr="006E79D0">
        <w:rPr>
          <w:rFonts w:ascii="Arial" w:hAnsi="Arial" w:cs="Arial"/>
          <w:lang w:val="es-AR"/>
        </w:rPr>
        <w:t xml:space="preserve"> (FM): C</w:t>
      </w:r>
      <w:r w:rsidRPr="00DD0BAE">
        <w:rPr>
          <w:rFonts w:ascii="Arial" w:hAnsi="Arial" w:cs="Arial"/>
          <w:sz w:val="16"/>
          <w:szCs w:val="16"/>
          <w:lang w:val="es-AR"/>
        </w:rPr>
        <w:t>16</w:t>
      </w:r>
      <w:r w:rsidRPr="006E79D0">
        <w:rPr>
          <w:rFonts w:ascii="Arial" w:hAnsi="Arial" w:cs="Arial"/>
          <w:lang w:val="es-AR"/>
        </w:rPr>
        <w:t>H</w:t>
      </w:r>
      <w:r w:rsidRPr="00DD0BAE">
        <w:rPr>
          <w:rFonts w:ascii="Arial" w:hAnsi="Arial" w:cs="Arial"/>
          <w:sz w:val="16"/>
          <w:szCs w:val="16"/>
          <w:lang w:val="es-AR"/>
        </w:rPr>
        <w:t>17</w:t>
      </w:r>
      <w:r w:rsidRPr="006E79D0">
        <w:rPr>
          <w:rFonts w:ascii="Arial" w:hAnsi="Arial" w:cs="Arial"/>
          <w:lang w:val="es-AR"/>
        </w:rPr>
        <w:t>N</w:t>
      </w:r>
      <w:r w:rsidRPr="00DD0BAE">
        <w:rPr>
          <w:rFonts w:ascii="Arial" w:hAnsi="Arial" w:cs="Arial"/>
          <w:sz w:val="16"/>
          <w:szCs w:val="16"/>
          <w:lang w:val="es-AR"/>
        </w:rPr>
        <w:t>3</w:t>
      </w:r>
      <w:r w:rsidRPr="006E79D0">
        <w:rPr>
          <w:rFonts w:ascii="Arial" w:hAnsi="Arial" w:cs="Arial"/>
          <w:lang w:val="es-AR"/>
        </w:rPr>
        <w:t>O</w:t>
      </w:r>
      <w:r w:rsidRPr="00DD0BAE">
        <w:rPr>
          <w:rFonts w:ascii="Arial" w:hAnsi="Arial" w:cs="Arial"/>
          <w:sz w:val="16"/>
          <w:szCs w:val="16"/>
          <w:lang w:val="es-AR"/>
        </w:rPr>
        <w:t>4</w:t>
      </w:r>
      <w:r w:rsidRPr="006E79D0">
        <w:rPr>
          <w:rFonts w:ascii="Arial" w:hAnsi="Arial" w:cs="Arial"/>
          <w:lang w:val="es-AR"/>
        </w:rPr>
        <w:t>S. H</w:t>
      </w:r>
      <w:r w:rsidRPr="0014575B">
        <w:rPr>
          <w:rFonts w:ascii="Arial" w:hAnsi="Arial" w:cs="Arial"/>
          <w:sz w:val="16"/>
          <w:szCs w:val="16"/>
          <w:lang w:val="es-AR"/>
        </w:rPr>
        <w:t>2</w:t>
      </w:r>
      <w:r w:rsidRPr="006E79D0">
        <w:rPr>
          <w:rFonts w:ascii="Arial" w:hAnsi="Arial" w:cs="Arial"/>
          <w:lang w:val="es-AR"/>
        </w:rPr>
        <w:t>O</w:t>
      </w:r>
    </w:p>
    <w:p w:rsidR="006E79D0" w:rsidRPr="006E79D0" w:rsidRDefault="006E79D0" w:rsidP="002A425D">
      <w:pPr>
        <w:keepNext/>
        <w:numPr>
          <w:ilvl w:val="0"/>
          <w:numId w:val="15"/>
        </w:numPr>
        <w:rPr>
          <w:rFonts w:ascii="Arial" w:hAnsi="Arial" w:cs="Arial"/>
          <w:lang w:val="es-AR"/>
        </w:rPr>
      </w:pPr>
      <w:r w:rsidRPr="006E79D0">
        <w:rPr>
          <w:rFonts w:ascii="Arial" w:hAnsi="Arial" w:cs="Arial"/>
          <w:u w:val="single"/>
          <w:lang w:val="es-AR"/>
        </w:rPr>
        <w:t xml:space="preserve">Peso molecular </w:t>
      </w:r>
      <w:r w:rsidRPr="006E79D0">
        <w:rPr>
          <w:rFonts w:ascii="Arial" w:hAnsi="Arial" w:cs="Arial"/>
          <w:lang w:val="es-AR"/>
        </w:rPr>
        <w:t>(PM): Anhidro: 347,40  Monohidrato: 365,41</w:t>
      </w:r>
    </w:p>
    <w:p w:rsidR="006E79D0" w:rsidRPr="006E79D0" w:rsidRDefault="006E79D0" w:rsidP="002A425D">
      <w:pPr>
        <w:keepNext/>
        <w:numPr>
          <w:ilvl w:val="0"/>
          <w:numId w:val="15"/>
        </w:numPr>
        <w:rPr>
          <w:rFonts w:ascii="Arial" w:hAnsi="Arial" w:cs="Arial"/>
          <w:lang w:val="es-AR"/>
        </w:rPr>
      </w:pPr>
      <w:r w:rsidRPr="006E79D0">
        <w:rPr>
          <w:rFonts w:ascii="Arial" w:hAnsi="Arial" w:cs="Arial"/>
          <w:u w:val="single"/>
          <w:lang w:val="es-AR"/>
        </w:rPr>
        <w:t>Envasado y almacenamiento</w:t>
      </w:r>
      <w:r w:rsidRPr="006E79D0">
        <w:rPr>
          <w:rFonts w:ascii="Arial" w:hAnsi="Arial" w:cs="Arial"/>
          <w:lang w:val="es-AR"/>
        </w:rPr>
        <w:t>: Conservar en envases impermeables.</w:t>
      </w:r>
    </w:p>
    <w:p w:rsidR="0012000C" w:rsidRPr="00AF5548" w:rsidRDefault="0012000C" w:rsidP="002A425D">
      <w:pPr>
        <w:keepNext/>
        <w:rPr>
          <w:rFonts w:ascii="Arial" w:hAnsi="Arial" w:cs="Arial"/>
          <w:lang w:val="es-AR"/>
        </w:rPr>
      </w:pPr>
    </w:p>
    <w:p w:rsidR="00325392" w:rsidRDefault="00F92AA5" w:rsidP="002A425D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2A425D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963"/>
        <w:gridCol w:w="2088"/>
        <w:gridCol w:w="2036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2A425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00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2A425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29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2A425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35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2A425D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12000C" w:rsidRPr="009C3169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6" w:type="pct"/>
            <w:tcBorders>
              <w:top w:val="double" w:sz="4" w:space="0" w:color="auto"/>
              <w:right w:val="double" w:sz="4" w:space="0" w:color="auto"/>
            </w:tcBorders>
          </w:tcPr>
          <w:p w:rsidR="0012000C" w:rsidRPr="006E79D0" w:rsidRDefault="0012000C" w:rsidP="002A425D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6E79D0">
              <w:rPr>
                <w:rFonts w:ascii="Arial" w:hAnsi="Arial" w:cs="Arial"/>
                <w:b/>
                <w:lang w:val="es-AR"/>
              </w:rPr>
              <w:t>Aspecto</w:t>
            </w:r>
          </w:p>
          <w:p w:rsidR="0012000C" w:rsidRPr="006E79D0" w:rsidRDefault="0012000C" w:rsidP="002A425D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00" w:type="pct"/>
            <w:tcBorders>
              <w:top w:val="double" w:sz="4" w:space="0" w:color="auto"/>
              <w:left w:val="double" w:sz="4" w:space="0" w:color="auto"/>
            </w:tcBorders>
          </w:tcPr>
          <w:p w:rsidR="0012000C" w:rsidRPr="0012000C" w:rsidRDefault="0012000C" w:rsidP="002A425D">
            <w:pPr>
              <w:keepNext/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Polvo cristalino blanco</w:t>
            </w:r>
            <w:r w:rsidR="006E79D0">
              <w:rPr>
                <w:rFonts w:ascii="Arial" w:hAnsi="Arial" w:cs="Arial"/>
                <w:lang w:val="es-AR"/>
              </w:rPr>
              <w:t xml:space="preserve"> o casi blanco</w:t>
            </w:r>
          </w:p>
        </w:tc>
        <w:tc>
          <w:tcPr>
            <w:tcW w:w="1029" w:type="pct"/>
            <w:tcBorders>
              <w:top w:val="double" w:sz="4" w:space="0" w:color="auto"/>
            </w:tcBorders>
          </w:tcPr>
          <w:p w:rsidR="0012000C" w:rsidRPr="0012000C" w:rsidRDefault="0012000C" w:rsidP="002A425D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Observación visual </w:t>
            </w:r>
          </w:p>
        </w:tc>
        <w:tc>
          <w:tcPr>
            <w:tcW w:w="1035" w:type="pct"/>
            <w:tcBorders>
              <w:top w:val="double" w:sz="4" w:space="0" w:color="auto"/>
            </w:tcBorders>
          </w:tcPr>
          <w:p w:rsidR="0012000C" w:rsidRPr="0012000C" w:rsidRDefault="0012000C" w:rsidP="002A425D">
            <w:pPr>
              <w:keepNext/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USP 30</w:t>
            </w:r>
          </w:p>
          <w:p w:rsidR="0012000C" w:rsidRPr="0012000C" w:rsidRDefault="0012000C" w:rsidP="002A425D">
            <w:pPr>
              <w:keepNext/>
              <w:rPr>
                <w:rFonts w:ascii="Arial" w:hAnsi="Arial" w:cs="Arial"/>
                <w:lang w:val="es-AR"/>
              </w:rPr>
            </w:pPr>
          </w:p>
        </w:tc>
      </w:tr>
      <w:tr w:rsidR="006E79D0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6E79D0" w:rsidRPr="006E79D0" w:rsidRDefault="006E79D0" w:rsidP="002A425D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6E79D0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6E79D0" w:rsidRPr="006E79D0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6E79D0">
              <w:rPr>
                <w:rFonts w:ascii="Arial" w:hAnsi="Arial" w:cs="Arial"/>
                <w:lang w:val="es-AR"/>
              </w:rPr>
              <w:t>Poco soluble en agua; prácticamente insoluble en alcohol, en cloroformo y en éter.</w:t>
            </w:r>
          </w:p>
        </w:tc>
        <w:tc>
          <w:tcPr>
            <w:tcW w:w="1029" w:type="pct"/>
          </w:tcPr>
          <w:p w:rsidR="006E79D0" w:rsidRPr="006E79D0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</w:t>
            </w:r>
            <w:r w:rsidR="00DD0BAE">
              <w:rPr>
                <w:rFonts w:ascii="Arial" w:hAnsi="Arial" w:cs="Arial"/>
                <w:lang w:val="es-AR"/>
              </w:rPr>
              <w:t xml:space="preserve"> -</w:t>
            </w:r>
            <w:r>
              <w:rPr>
                <w:rFonts w:ascii="Arial" w:hAnsi="Arial" w:cs="Arial"/>
                <w:lang w:val="es-AR"/>
              </w:rPr>
              <w:t xml:space="preserve"> visual</w:t>
            </w:r>
          </w:p>
        </w:tc>
        <w:tc>
          <w:tcPr>
            <w:tcW w:w="1035" w:type="pct"/>
          </w:tcPr>
          <w:p w:rsidR="006E79D0" w:rsidRPr="006E79D0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6E79D0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9C3169" w:rsidRPr="00F430BE" w:rsidRDefault="009C3169" w:rsidP="002A425D">
            <w:pPr>
              <w:keepNext/>
              <w:jc w:val="both"/>
              <w:rPr>
                <w:rFonts w:ascii="Arial" w:hAnsi="Arial" w:cs="Arial"/>
                <w:b/>
                <w:lang w:val="es-AR"/>
              </w:rPr>
            </w:pPr>
            <w:r w:rsidRPr="00F430BE">
              <w:rPr>
                <w:rFonts w:ascii="Arial" w:hAnsi="Arial" w:cs="Arial"/>
                <w:b/>
                <w:lang w:val="es-AR"/>
              </w:rPr>
              <w:t>Identificación por espectroscopia IR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9C3169" w:rsidRPr="009C3169" w:rsidRDefault="009C3169" w:rsidP="002A425D">
            <w:pPr>
              <w:keepNext/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 xml:space="preserve">El espectro </w:t>
            </w:r>
            <w:r w:rsidR="00C23A74">
              <w:rPr>
                <w:rFonts w:ascii="Arial" w:hAnsi="Arial" w:cs="Arial"/>
                <w:lang w:val="es-AR"/>
              </w:rPr>
              <w:t xml:space="preserve">IR </w:t>
            </w:r>
            <w:r w:rsidRPr="009C3169">
              <w:rPr>
                <w:rFonts w:ascii="Arial" w:hAnsi="Arial" w:cs="Arial"/>
                <w:lang w:val="es-AR"/>
              </w:rPr>
              <w:t xml:space="preserve">obtenido debe ser comparable al de un estándar de referencia. </w:t>
            </w:r>
          </w:p>
        </w:tc>
        <w:tc>
          <w:tcPr>
            <w:tcW w:w="1029" w:type="pct"/>
          </w:tcPr>
          <w:p w:rsidR="009C3169" w:rsidRPr="009C3169" w:rsidRDefault="00C23A74" w:rsidP="002A425D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Espectroscopí</w:t>
            </w:r>
            <w:r w:rsidR="009C3169" w:rsidRPr="009C3169">
              <w:rPr>
                <w:rFonts w:ascii="Arial" w:hAnsi="Arial" w:cs="Arial"/>
                <w:lang w:val="es-AR"/>
              </w:rPr>
              <w:t>a IR.</w:t>
            </w:r>
          </w:p>
        </w:tc>
        <w:tc>
          <w:tcPr>
            <w:tcW w:w="1035" w:type="pct"/>
          </w:tcPr>
          <w:p w:rsidR="009C3169" w:rsidRPr="009C3169" w:rsidRDefault="009C3169" w:rsidP="002A425D">
            <w:pPr>
              <w:keepNext/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 xml:space="preserve">USP 30 </w:t>
            </w:r>
          </w:p>
        </w:tc>
      </w:tr>
      <w:tr w:rsidR="006E79D0" w:rsidRPr="006E79D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6E79D0" w:rsidRPr="006E79D0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6E79D0">
              <w:rPr>
                <w:rFonts w:ascii="Arial" w:hAnsi="Arial" w:cs="Arial"/>
                <w:lang w:val="es-AR"/>
              </w:rPr>
              <w:t>I</w:t>
            </w:r>
            <w:r w:rsidRPr="006E79D0">
              <w:rPr>
                <w:rFonts w:ascii="Arial" w:hAnsi="Arial" w:cs="Arial"/>
                <w:b/>
                <w:lang w:val="es-AR"/>
              </w:rPr>
              <w:t>dentificación por espectroscopía UV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6E79D0" w:rsidRPr="006E79D0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6E79D0">
              <w:rPr>
                <w:rFonts w:ascii="Arial" w:hAnsi="Arial" w:cs="Arial"/>
                <w:lang w:val="es-AR"/>
              </w:rPr>
              <w:t>El espectro</w:t>
            </w:r>
            <w:r w:rsidR="00C23A74">
              <w:rPr>
                <w:rFonts w:ascii="Arial" w:hAnsi="Arial" w:cs="Arial"/>
                <w:lang w:val="es-AR"/>
              </w:rPr>
              <w:t xml:space="preserve"> UV</w:t>
            </w:r>
            <w:r w:rsidRPr="006E79D0">
              <w:rPr>
                <w:rFonts w:ascii="Arial" w:hAnsi="Arial" w:cs="Arial"/>
                <w:lang w:val="es-AR"/>
              </w:rPr>
              <w:t xml:space="preserve"> obtenido debe ser comparable al de un estándar de referencia.</w:t>
            </w:r>
          </w:p>
          <w:p w:rsidR="006E79D0" w:rsidRPr="006E79D0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6E79D0">
              <w:rPr>
                <w:rFonts w:ascii="Arial" w:hAnsi="Arial" w:cs="Arial"/>
                <w:lang w:val="es-AR"/>
              </w:rPr>
              <w:t>La absortividad,</w:t>
            </w:r>
            <w:r>
              <w:rPr>
                <w:rFonts w:ascii="Arial" w:hAnsi="Arial" w:cs="Arial"/>
                <w:lang w:val="es-AR"/>
              </w:rPr>
              <w:t xml:space="preserve"> </w:t>
            </w:r>
            <w:r w:rsidRPr="006E79D0">
              <w:rPr>
                <w:rFonts w:ascii="Arial" w:hAnsi="Arial" w:cs="Arial"/>
                <w:lang w:val="es-AR"/>
              </w:rPr>
              <w:t xml:space="preserve">calculada con respecto a la sustancia anhidra, a la λ de máxima absorbancia, </w:t>
            </w:r>
            <w:r>
              <w:rPr>
                <w:rFonts w:ascii="Arial" w:hAnsi="Arial" w:cs="Arial"/>
                <w:lang w:val="es-AR"/>
              </w:rPr>
              <w:t>(</w:t>
            </w:r>
            <w:r w:rsidRPr="006E79D0">
              <w:rPr>
                <w:rFonts w:ascii="Arial" w:hAnsi="Arial" w:cs="Arial"/>
                <w:lang w:val="es-AR"/>
              </w:rPr>
              <w:t>aprox</w:t>
            </w:r>
            <w:r w:rsidR="00C23A74">
              <w:rPr>
                <w:rFonts w:ascii="Arial" w:hAnsi="Arial" w:cs="Arial"/>
                <w:lang w:val="es-AR"/>
              </w:rPr>
              <w:t>.</w:t>
            </w:r>
            <w:r w:rsidRPr="006E79D0">
              <w:rPr>
                <w:rFonts w:ascii="Arial" w:hAnsi="Arial" w:cs="Arial"/>
                <w:lang w:val="es-AR"/>
              </w:rPr>
              <w:t xml:space="preserve"> a 262 nm</w:t>
            </w:r>
            <w:r>
              <w:rPr>
                <w:rFonts w:ascii="Arial" w:hAnsi="Arial" w:cs="Arial"/>
                <w:lang w:val="es-AR"/>
              </w:rPr>
              <w:t>)</w:t>
            </w:r>
            <w:r w:rsidRPr="006E79D0">
              <w:rPr>
                <w:rFonts w:ascii="Arial" w:hAnsi="Arial" w:cs="Arial"/>
                <w:lang w:val="es-AR"/>
              </w:rPr>
              <w:t xml:space="preserve">, es de 95,0 – 104,0 % de la absortividad del </w:t>
            </w:r>
            <w:r w:rsidR="00C23A74" w:rsidRPr="006E79D0">
              <w:rPr>
                <w:rFonts w:ascii="Arial" w:hAnsi="Arial" w:cs="Arial"/>
                <w:lang w:val="es-AR"/>
              </w:rPr>
              <w:t>estándar</w:t>
            </w:r>
            <w:r w:rsidRPr="006E79D0">
              <w:rPr>
                <w:rFonts w:ascii="Arial" w:hAnsi="Arial" w:cs="Arial"/>
                <w:lang w:val="es-AR"/>
              </w:rPr>
              <w:t xml:space="preserve"> de referencia, teniendo en cuenta la potencia del </w:t>
            </w:r>
            <w:r w:rsidR="00C23A74" w:rsidRPr="006E79D0">
              <w:rPr>
                <w:rFonts w:ascii="Arial" w:hAnsi="Arial" w:cs="Arial"/>
                <w:lang w:val="es-AR"/>
              </w:rPr>
              <w:t>mismo</w:t>
            </w:r>
            <w:r w:rsidRPr="006E79D0">
              <w:rPr>
                <w:rFonts w:ascii="Arial" w:hAnsi="Arial" w:cs="Arial"/>
                <w:lang w:val="es-AR"/>
              </w:rPr>
              <w:t>.</w:t>
            </w:r>
          </w:p>
        </w:tc>
        <w:tc>
          <w:tcPr>
            <w:tcW w:w="1029" w:type="pct"/>
          </w:tcPr>
          <w:p w:rsidR="006E79D0" w:rsidRPr="006E79D0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6E79D0">
              <w:rPr>
                <w:rFonts w:ascii="Arial" w:hAnsi="Arial" w:cs="Arial"/>
                <w:lang w:val="es-AR"/>
              </w:rPr>
              <w:t>Espectofotometría U.V</w:t>
            </w:r>
          </w:p>
        </w:tc>
        <w:tc>
          <w:tcPr>
            <w:tcW w:w="1035" w:type="pct"/>
          </w:tcPr>
          <w:p w:rsidR="006E79D0" w:rsidRPr="006E79D0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6E79D0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9C3169" w:rsidRDefault="009C3169" w:rsidP="002A425D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2A425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2A425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2A425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2A425D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6E79D0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6E79D0" w:rsidRPr="002A425D" w:rsidRDefault="006E79D0" w:rsidP="002A425D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2A425D">
              <w:rPr>
                <w:rFonts w:ascii="Arial" w:hAnsi="Arial" w:cs="Arial"/>
                <w:b/>
                <w:lang w:val="es-AR"/>
              </w:rPr>
              <w:t>Identificación por TLC</w:t>
            </w:r>
          </w:p>
          <w:p w:rsidR="006E79D0" w:rsidRPr="002A425D" w:rsidRDefault="006E79D0" w:rsidP="002A425D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6E79D0" w:rsidRPr="006E79D0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6E79D0">
              <w:rPr>
                <w:rFonts w:ascii="Arial" w:hAnsi="Arial" w:cs="Arial"/>
                <w:lang w:val="es-AR"/>
              </w:rPr>
              <w:t xml:space="preserve">El Rf de la mancha principal obtenida con la muestra se corresponde con el </w:t>
            </w:r>
            <w:r w:rsidR="00C23A74">
              <w:rPr>
                <w:rFonts w:ascii="Arial" w:hAnsi="Arial" w:cs="Arial"/>
                <w:lang w:val="es-AR"/>
              </w:rPr>
              <w:t xml:space="preserve">Rf </w:t>
            </w:r>
            <w:r w:rsidRPr="006E79D0">
              <w:rPr>
                <w:rFonts w:ascii="Arial" w:hAnsi="Arial" w:cs="Arial"/>
                <w:lang w:val="es-AR"/>
              </w:rPr>
              <w:t>del testigo en el cromatograma obtenido.</w:t>
            </w:r>
          </w:p>
        </w:tc>
        <w:tc>
          <w:tcPr>
            <w:tcW w:w="1008" w:type="pct"/>
          </w:tcPr>
          <w:p w:rsidR="006E79D0" w:rsidRPr="006E79D0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6E79D0">
              <w:rPr>
                <w:rFonts w:ascii="Arial" w:hAnsi="Arial" w:cs="Arial"/>
                <w:lang w:val="es-AR"/>
              </w:rPr>
              <w:t>TLC</w:t>
            </w:r>
          </w:p>
        </w:tc>
        <w:tc>
          <w:tcPr>
            <w:tcW w:w="1051" w:type="pct"/>
          </w:tcPr>
          <w:p w:rsidR="006E79D0" w:rsidRPr="006E79D0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6E79D0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6E79D0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6E79D0" w:rsidRPr="002A425D" w:rsidRDefault="006E79D0" w:rsidP="002A425D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2A425D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6E79D0" w:rsidRPr="00C31AEF" w:rsidRDefault="00C23A74" w:rsidP="002A425D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</w:t>
            </w:r>
            <w:r w:rsidRPr="00C31AEF">
              <w:rPr>
                <w:rFonts w:ascii="Arial" w:hAnsi="Arial" w:cs="Arial"/>
                <w:lang w:val="es-AR"/>
              </w:rPr>
              <w:t xml:space="preserve">ebe coincidir </w:t>
            </w:r>
            <w:r>
              <w:rPr>
                <w:rFonts w:ascii="Arial" w:hAnsi="Arial" w:cs="Arial"/>
                <w:lang w:val="es-AR"/>
              </w:rPr>
              <w:t>e</w:t>
            </w:r>
            <w:r w:rsidR="006E79D0" w:rsidRPr="00C31AEF">
              <w:rPr>
                <w:rFonts w:ascii="Arial" w:hAnsi="Arial" w:cs="Arial"/>
                <w:lang w:val="es-AR"/>
              </w:rPr>
              <w:t xml:space="preserve">l </w:t>
            </w:r>
            <w:r w:rsidR="00C31AEF">
              <w:rPr>
                <w:rFonts w:ascii="Arial" w:hAnsi="Arial" w:cs="Arial"/>
                <w:lang w:val="es-AR"/>
              </w:rPr>
              <w:t xml:space="preserve">Tr </w:t>
            </w:r>
            <w:r w:rsidR="006E79D0" w:rsidRPr="00C31AEF">
              <w:rPr>
                <w:rFonts w:ascii="Arial" w:hAnsi="Arial" w:cs="Arial"/>
                <w:lang w:val="es-AR"/>
              </w:rPr>
              <w:t xml:space="preserve">del pico principal de la muestra con el </w:t>
            </w:r>
            <w:r w:rsidR="00C31AEF">
              <w:rPr>
                <w:rFonts w:ascii="Arial" w:hAnsi="Arial" w:cs="Arial"/>
                <w:lang w:val="es-AR"/>
              </w:rPr>
              <w:t>Tr</w:t>
            </w:r>
            <w:r w:rsidR="006E79D0" w:rsidRPr="00C31AEF">
              <w:rPr>
                <w:rFonts w:ascii="Arial" w:hAnsi="Arial" w:cs="Arial"/>
                <w:lang w:val="es-AR"/>
              </w:rPr>
              <w:t xml:space="preserve"> del pico principal del testigo en el cromatograma obtenido.</w:t>
            </w:r>
          </w:p>
        </w:tc>
        <w:tc>
          <w:tcPr>
            <w:tcW w:w="1008" w:type="pct"/>
          </w:tcPr>
          <w:p w:rsidR="006E79D0" w:rsidRPr="00C31AEF" w:rsidRDefault="006E79D0" w:rsidP="002A425D">
            <w:pPr>
              <w:keepNext/>
              <w:rPr>
                <w:rFonts w:ascii="Arial" w:hAnsi="Arial" w:cs="Arial"/>
                <w:lang w:val="en-US"/>
              </w:rPr>
            </w:pPr>
            <w:r w:rsidRPr="00C31AEF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</w:tcPr>
          <w:p w:rsidR="006E79D0" w:rsidRPr="00C31AEF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USP 30, Técnica de valoración.</w:t>
            </w:r>
          </w:p>
        </w:tc>
      </w:tr>
      <w:tr w:rsidR="006E79D0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6E79D0" w:rsidRPr="002A425D" w:rsidRDefault="006E79D0" w:rsidP="002A425D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2A425D">
              <w:rPr>
                <w:rFonts w:ascii="Arial" w:hAnsi="Arial" w:cs="Arial"/>
                <w:b/>
                <w:lang w:val="es-AR"/>
              </w:rPr>
              <w:t>Rotación específica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6E79D0" w:rsidRPr="00C31AEF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Entre + 149º y + 158º.</w:t>
            </w:r>
          </w:p>
        </w:tc>
        <w:tc>
          <w:tcPr>
            <w:tcW w:w="1008" w:type="pct"/>
          </w:tcPr>
          <w:p w:rsidR="006E79D0" w:rsidRPr="00C31AEF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Polarimetría</w:t>
            </w:r>
          </w:p>
        </w:tc>
        <w:tc>
          <w:tcPr>
            <w:tcW w:w="1051" w:type="pct"/>
          </w:tcPr>
          <w:p w:rsidR="006E79D0" w:rsidRPr="00C31AEF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 xml:space="preserve">USP 30 (781 S) </w:t>
            </w:r>
          </w:p>
        </w:tc>
      </w:tr>
      <w:tr w:rsidR="006E79D0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6E79D0" w:rsidRPr="002A425D" w:rsidRDefault="006E79D0" w:rsidP="002A425D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2A425D">
              <w:rPr>
                <w:rFonts w:ascii="Arial" w:hAnsi="Arial" w:cs="Arial"/>
                <w:b/>
                <w:lang w:val="es-AR"/>
              </w:rPr>
              <w:t>pH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6E79D0" w:rsidRPr="00C31AEF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3,0 – 5,5</w:t>
            </w:r>
          </w:p>
        </w:tc>
        <w:tc>
          <w:tcPr>
            <w:tcW w:w="1008" w:type="pct"/>
          </w:tcPr>
          <w:p w:rsidR="006E79D0" w:rsidRPr="00C31AEF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Con pHmetro</w:t>
            </w:r>
          </w:p>
        </w:tc>
        <w:tc>
          <w:tcPr>
            <w:tcW w:w="1051" w:type="pct"/>
          </w:tcPr>
          <w:p w:rsidR="006E79D0" w:rsidRPr="00C31AEF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USP (791)</w:t>
            </w:r>
          </w:p>
        </w:tc>
      </w:tr>
      <w:tr w:rsidR="006E79D0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6E79D0" w:rsidRPr="002A425D" w:rsidRDefault="006E79D0" w:rsidP="002A425D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2A425D">
              <w:rPr>
                <w:rFonts w:ascii="Arial" w:hAnsi="Arial" w:cs="Arial"/>
                <w:b/>
                <w:lang w:val="es-AR"/>
              </w:rPr>
              <w:t>Agua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6E79D0" w:rsidRPr="00C31AEF" w:rsidRDefault="00DA3DEB" w:rsidP="002A425D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4.0 – 8.0%</w:t>
            </w:r>
          </w:p>
        </w:tc>
        <w:tc>
          <w:tcPr>
            <w:tcW w:w="1008" w:type="pct"/>
          </w:tcPr>
          <w:p w:rsidR="006E79D0" w:rsidRPr="00C31AEF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Karl- Fischer</w:t>
            </w:r>
          </w:p>
        </w:tc>
        <w:tc>
          <w:tcPr>
            <w:tcW w:w="1051" w:type="pct"/>
          </w:tcPr>
          <w:p w:rsidR="006E79D0" w:rsidRPr="00C31AEF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USP 30, Método I (921)</w:t>
            </w:r>
          </w:p>
        </w:tc>
      </w:tr>
      <w:tr w:rsidR="006E79D0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6E79D0" w:rsidRPr="002A425D" w:rsidRDefault="006E79D0" w:rsidP="002A425D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2A425D">
              <w:rPr>
                <w:rFonts w:ascii="Arial" w:hAnsi="Arial" w:cs="Arial"/>
                <w:b/>
                <w:lang w:val="es-AR"/>
              </w:rPr>
              <w:t>Compuestos relacionados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6E79D0" w:rsidRPr="00C31AEF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≤ 1,0 % de cualquier sustancia individual y ≤ 5,0 %</w:t>
            </w:r>
            <w:r w:rsidR="00123DD9">
              <w:rPr>
                <w:rFonts w:ascii="Arial" w:hAnsi="Arial" w:cs="Arial"/>
                <w:lang w:val="es-AR"/>
              </w:rPr>
              <w:t xml:space="preserve"> de</w:t>
            </w:r>
            <w:r w:rsidRPr="00C31AEF">
              <w:rPr>
                <w:rFonts w:ascii="Arial" w:hAnsi="Arial" w:cs="Arial"/>
                <w:lang w:val="es-AR"/>
              </w:rPr>
              <w:t xml:space="preserve"> la suma de todas las sustancias encontradas.</w:t>
            </w:r>
          </w:p>
        </w:tc>
        <w:tc>
          <w:tcPr>
            <w:tcW w:w="1008" w:type="pct"/>
          </w:tcPr>
          <w:p w:rsidR="006E79D0" w:rsidRPr="00C31AEF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51" w:type="pct"/>
          </w:tcPr>
          <w:p w:rsidR="006E79D0" w:rsidRPr="00C31AEF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6E79D0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6E79D0" w:rsidRPr="002A425D" w:rsidRDefault="006E79D0" w:rsidP="002A425D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2A425D">
              <w:rPr>
                <w:rFonts w:ascii="Arial" w:hAnsi="Arial" w:cs="Arial"/>
                <w:b/>
                <w:lang w:val="es-AR"/>
              </w:rPr>
              <w:t>Dimetilanilina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6E79D0" w:rsidRPr="00C31AEF" w:rsidRDefault="00DA3DEB" w:rsidP="002A425D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≤0.002 %</w:t>
            </w:r>
          </w:p>
        </w:tc>
        <w:tc>
          <w:tcPr>
            <w:tcW w:w="1008" w:type="pct"/>
          </w:tcPr>
          <w:p w:rsidR="006E79D0" w:rsidRPr="00C31AEF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Cromatografía gaseosa</w:t>
            </w:r>
          </w:p>
        </w:tc>
        <w:tc>
          <w:tcPr>
            <w:tcW w:w="1051" w:type="pct"/>
          </w:tcPr>
          <w:p w:rsidR="006E79D0" w:rsidRPr="00C31AEF" w:rsidRDefault="006E79D0" w:rsidP="002A425D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USP 30 (223)</w:t>
            </w:r>
          </w:p>
        </w:tc>
      </w:tr>
      <w:tr w:rsidR="00C31AEF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C31AEF" w:rsidRPr="002A425D" w:rsidRDefault="00C31AEF" w:rsidP="002A425D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2A425D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C31AEF" w:rsidRPr="002A425D" w:rsidRDefault="00C31AEF" w:rsidP="002A425D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C31AEF" w:rsidRPr="00C31AEF" w:rsidRDefault="00C31AEF" w:rsidP="002A425D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 xml:space="preserve"> Potencia 950- 1030 </w:t>
            </w:r>
            <w:r>
              <w:rPr>
                <w:rFonts w:ascii="Arial" w:hAnsi="Arial" w:cs="Arial"/>
                <w:lang w:val="es-AR"/>
              </w:rPr>
              <w:t>µ</w:t>
            </w:r>
            <w:r w:rsidRPr="00C31AEF">
              <w:rPr>
                <w:rFonts w:ascii="Arial" w:hAnsi="Arial" w:cs="Arial"/>
                <w:lang w:val="es-AR"/>
              </w:rPr>
              <w:t xml:space="preserve">g  de </w:t>
            </w:r>
            <w:r>
              <w:rPr>
                <w:rFonts w:ascii="Arial" w:hAnsi="Arial" w:cs="Arial"/>
                <w:lang w:val="es-AR"/>
              </w:rPr>
              <w:t>Cefalexina</w:t>
            </w:r>
            <w:r w:rsidRPr="00C31AEF">
              <w:rPr>
                <w:rFonts w:ascii="Arial" w:hAnsi="Arial" w:cs="Arial"/>
                <w:lang w:val="es-AR"/>
              </w:rPr>
              <w:t xml:space="preserve"> por mg, calculado con respecto a la sustancia anhidra.</w:t>
            </w:r>
          </w:p>
        </w:tc>
        <w:tc>
          <w:tcPr>
            <w:tcW w:w="1008" w:type="pct"/>
          </w:tcPr>
          <w:p w:rsidR="00C31AEF" w:rsidRPr="00C31AEF" w:rsidRDefault="00C31AEF" w:rsidP="002A425D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51" w:type="pct"/>
          </w:tcPr>
          <w:p w:rsidR="00C31AEF" w:rsidRPr="00C31AEF" w:rsidRDefault="00C31AEF" w:rsidP="002A425D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9C3169" w:rsidRDefault="009C3169" w:rsidP="002A425D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2A425D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2A425D">
      <w:pPr>
        <w:keepNext/>
        <w:keepLines/>
        <w:widowControl w:val="0"/>
      </w:pPr>
    </w:p>
    <w:p w:rsidR="00F33A4C" w:rsidRPr="00F33A4C" w:rsidRDefault="009C3169" w:rsidP="002A425D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2A425D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>Laboratorio LARO SRL</w:t>
      </w:r>
    </w:p>
    <w:p w:rsidR="00F33A4C" w:rsidRPr="00F33A4C" w:rsidRDefault="009C3169" w:rsidP="002A425D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2A425D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Laboratorio de Control.</w:t>
      </w:r>
    </w:p>
    <w:p w:rsidR="00F33A4C" w:rsidRDefault="00F33A4C" w:rsidP="002A425D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7E1FC6" w:rsidP="002A425D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 autorizados</w:t>
      </w:r>
      <w:r w:rsidR="00F33A4C" w:rsidRPr="001B6977">
        <w:rPr>
          <w:caps/>
          <w:sz w:val="24"/>
          <w:szCs w:val="24"/>
        </w:rPr>
        <w:t xml:space="preserve">: </w:t>
      </w:r>
    </w:p>
    <w:p w:rsidR="00F33A4C" w:rsidRPr="00025EE7" w:rsidRDefault="00F33A4C" w:rsidP="002A425D">
      <w:pPr>
        <w:keepNext/>
        <w:keepLines/>
        <w:widowControl w:val="0"/>
      </w:pPr>
    </w:p>
    <w:p w:rsidR="00F33A4C" w:rsidRDefault="00F33A4C" w:rsidP="002A425D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2A425D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2A425D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2A425D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2A425D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lastRenderedPageBreak/>
        <w:t>Anedra S.A</w:t>
      </w:r>
    </w:p>
    <w:p w:rsidR="00F33A4C" w:rsidRDefault="00F33A4C" w:rsidP="002A425D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2A425D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Pr="00F33A4C" w:rsidRDefault="00F33A4C" w:rsidP="002A425D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58C1" w:rsidRDefault="00DA58C1" w:rsidP="00BE1875">
      <w:pPr>
        <w:pStyle w:val="Encabezado"/>
      </w:pPr>
      <w:r>
        <w:separator/>
      </w:r>
    </w:p>
  </w:endnote>
  <w:endnote w:type="continuationSeparator" w:id="0">
    <w:p w:rsidR="00DA58C1" w:rsidRDefault="00DA58C1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B84C34">
      <w:tc>
        <w:tcPr>
          <w:tcW w:w="2268" w:type="dxa"/>
        </w:tcPr>
        <w:p w:rsidR="00B84C34" w:rsidRPr="00A708F6" w:rsidRDefault="00B84C3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B84C34" w:rsidRPr="00A708F6" w:rsidRDefault="00B84C3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B84C34" w:rsidRPr="00A708F6" w:rsidRDefault="00B84C3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B84C34" w:rsidRPr="00A708F6" w:rsidRDefault="00B84C34">
          <w:pPr>
            <w:pStyle w:val="Piedepgina"/>
            <w:rPr>
              <w:rFonts w:ascii="Arial" w:hAnsi="Arial" w:cs="Arial"/>
              <w:b/>
            </w:rPr>
          </w:pPr>
        </w:p>
      </w:tc>
    </w:tr>
    <w:tr w:rsidR="00B84C34">
      <w:trPr>
        <w:trHeight w:val="1489"/>
      </w:trPr>
      <w:tc>
        <w:tcPr>
          <w:tcW w:w="2268" w:type="dxa"/>
        </w:tcPr>
        <w:p w:rsidR="00B84C34" w:rsidRPr="00A708F6" w:rsidRDefault="00B84C3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B84C34" w:rsidRPr="00A708F6" w:rsidRDefault="00B84C3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B84C34" w:rsidRPr="00A708F6" w:rsidRDefault="00B84C3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B84C34" w:rsidRPr="00A708F6" w:rsidRDefault="00B84C34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B84C34" w:rsidRDefault="00B84C3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58C1" w:rsidRDefault="00DA58C1" w:rsidP="00BE1875">
      <w:pPr>
        <w:pStyle w:val="Encabezado"/>
      </w:pPr>
      <w:r>
        <w:separator/>
      </w:r>
    </w:p>
  </w:footnote>
  <w:footnote w:type="continuationSeparator" w:id="0">
    <w:p w:rsidR="00DA58C1" w:rsidRDefault="00DA58C1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4C34" w:rsidRDefault="00B84C34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2"/>
      <w:gridCol w:w="3237"/>
    </w:tblGrid>
    <w:tr w:rsidR="00B84C34">
      <w:trPr>
        <w:trHeight w:val="620"/>
      </w:trPr>
      <w:tc>
        <w:tcPr>
          <w:tcW w:w="2448" w:type="dxa"/>
          <w:vMerge w:val="restart"/>
        </w:tcPr>
        <w:p w:rsidR="00B84C34" w:rsidRPr="00F43ADE" w:rsidRDefault="005965ED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84C34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B84C34" w:rsidRDefault="00B84C34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Especificaciones de Materia Prima</w:t>
          </w:r>
        </w:p>
        <w:p w:rsidR="00B84C34" w:rsidRDefault="00B84C34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 </w:t>
          </w:r>
        </w:p>
        <w:p w:rsidR="00B84C34" w:rsidRPr="005D6123" w:rsidRDefault="00B84C34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lang w:val="es-AR"/>
            </w:rPr>
            <w:t>CEFALEXINA COMPACTADA</w:t>
          </w:r>
        </w:p>
      </w:tc>
      <w:tc>
        <w:tcPr>
          <w:tcW w:w="3293" w:type="dxa"/>
        </w:tcPr>
        <w:p w:rsidR="00B84C34" w:rsidRDefault="00B84C34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B84C34" w:rsidRPr="001F35A2" w:rsidRDefault="00B84C34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1F35A2">
            <w:rPr>
              <w:rFonts w:ascii="Arial" w:hAnsi="Arial" w:cs="Arial"/>
              <w:b/>
            </w:rPr>
            <w:t>MP0</w:t>
          </w:r>
          <w:r>
            <w:rPr>
              <w:rFonts w:ascii="Arial" w:hAnsi="Arial" w:cs="Arial"/>
              <w:b/>
            </w:rPr>
            <w:t>16</w:t>
          </w:r>
          <w:r w:rsidRPr="001F35A2">
            <w:rPr>
              <w:rFonts w:ascii="Arial" w:hAnsi="Arial" w:cs="Arial"/>
              <w:b/>
            </w:rPr>
            <w:t>-00</w:t>
          </w:r>
        </w:p>
      </w:tc>
    </w:tr>
    <w:tr w:rsidR="00B84C34">
      <w:trPr>
        <w:trHeight w:val="620"/>
      </w:trPr>
      <w:tc>
        <w:tcPr>
          <w:tcW w:w="2448" w:type="dxa"/>
          <w:vMerge/>
        </w:tcPr>
        <w:p w:rsidR="00B84C34" w:rsidRPr="00F43ADE" w:rsidRDefault="00B84C34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B84C34" w:rsidRPr="00F43ADE" w:rsidRDefault="00B84C34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B84C34" w:rsidRPr="00D30DAF" w:rsidRDefault="00B84C34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B84C34">
      <w:trPr>
        <w:trHeight w:val="620"/>
      </w:trPr>
      <w:tc>
        <w:tcPr>
          <w:tcW w:w="2448" w:type="dxa"/>
          <w:vMerge/>
        </w:tcPr>
        <w:p w:rsidR="00B84C34" w:rsidRPr="00F43ADE" w:rsidRDefault="00B84C34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B84C34" w:rsidRPr="00F43ADE" w:rsidRDefault="00B84C34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B84C34" w:rsidRPr="005C7662" w:rsidRDefault="00B84C34" w:rsidP="005C7662">
          <w:pPr>
            <w:pStyle w:val="Encabezado"/>
            <w:rPr>
              <w:rFonts w:ascii="Arial" w:hAnsi="Arial" w:cs="Arial"/>
              <w:color w:val="FF0000"/>
            </w:rPr>
          </w:pPr>
          <w:r w:rsidRPr="001F35A2">
            <w:rPr>
              <w:rFonts w:ascii="Arial" w:hAnsi="Arial" w:cs="Arial"/>
              <w:b/>
            </w:rPr>
            <w:t>Acción Terapéutica:</w:t>
          </w:r>
          <w:r w:rsidRPr="00D30DAF">
            <w:rPr>
              <w:rFonts w:ascii="Arial" w:hAnsi="Arial" w:cs="Arial"/>
              <w:b/>
              <w:color w:val="FF0000"/>
            </w:rPr>
            <w:t xml:space="preserve"> </w:t>
          </w:r>
          <w:r>
            <w:rPr>
              <w:rFonts w:ascii="Arial" w:hAnsi="Arial" w:cs="Arial"/>
            </w:rPr>
            <w:t>Antibiótico Betalactámico</w:t>
          </w:r>
        </w:p>
      </w:tc>
    </w:tr>
    <w:tr w:rsidR="00B84C34" w:rsidRPr="00F43ADE">
      <w:trPr>
        <w:trHeight w:val="541"/>
      </w:trPr>
      <w:tc>
        <w:tcPr>
          <w:tcW w:w="2448" w:type="dxa"/>
          <w:vMerge/>
        </w:tcPr>
        <w:p w:rsidR="00B84C34" w:rsidRPr="00F43ADE" w:rsidRDefault="00B84C34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B84C34" w:rsidRPr="00F43ADE" w:rsidRDefault="00B84C34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5965ED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5965ED">
            <w:rPr>
              <w:rFonts w:ascii="Arial" w:hAnsi="Arial" w:cs="Arial"/>
              <w:noProof/>
            </w:rPr>
            <w:t>3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B84C34" w:rsidRDefault="00B84C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9184E"/>
    <w:multiLevelType w:val="hybridMultilevel"/>
    <w:tmpl w:val="1C149886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F6FD3"/>
    <w:multiLevelType w:val="hybridMultilevel"/>
    <w:tmpl w:val="64D2282C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0D85DDE"/>
    <w:multiLevelType w:val="hybridMultilevel"/>
    <w:tmpl w:val="9100241E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843BD5"/>
    <w:multiLevelType w:val="hybridMultilevel"/>
    <w:tmpl w:val="2E664EF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CE27D6"/>
    <w:multiLevelType w:val="hybridMultilevel"/>
    <w:tmpl w:val="CF06A1C2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2A5C29"/>
    <w:multiLevelType w:val="hybridMultilevel"/>
    <w:tmpl w:val="C130C084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3"/>
  </w:num>
  <w:num w:numId="4">
    <w:abstractNumId w:val="2"/>
  </w:num>
  <w:num w:numId="5">
    <w:abstractNumId w:val="10"/>
  </w:num>
  <w:num w:numId="6">
    <w:abstractNumId w:val="4"/>
  </w:num>
  <w:num w:numId="7">
    <w:abstractNumId w:val="7"/>
  </w:num>
  <w:num w:numId="8">
    <w:abstractNumId w:val="9"/>
  </w:num>
  <w:num w:numId="9">
    <w:abstractNumId w:val="0"/>
  </w:num>
  <w:num w:numId="10">
    <w:abstractNumId w:val="12"/>
  </w:num>
  <w:num w:numId="11">
    <w:abstractNumId w:val="15"/>
  </w:num>
  <w:num w:numId="12">
    <w:abstractNumId w:val="14"/>
  </w:num>
  <w:num w:numId="13">
    <w:abstractNumId w:val="5"/>
  </w:num>
  <w:num w:numId="14">
    <w:abstractNumId w:val="8"/>
  </w:num>
  <w:num w:numId="15">
    <w:abstractNumId w:val="1"/>
  </w:num>
  <w:num w:numId="16">
    <w:abstractNumId w:val="16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501F5"/>
    <w:rsid w:val="000529B0"/>
    <w:rsid w:val="0005661A"/>
    <w:rsid w:val="00080362"/>
    <w:rsid w:val="00081206"/>
    <w:rsid w:val="000A69DD"/>
    <w:rsid w:val="000B18E8"/>
    <w:rsid w:val="000D6C6F"/>
    <w:rsid w:val="000E60D0"/>
    <w:rsid w:val="00114A1B"/>
    <w:rsid w:val="00116054"/>
    <w:rsid w:val="0012000C"/>
    <w:rsid w:val="00123DD9"/>
    <w:rsid w:val="0014575B"/>
    <w:rsid w:val="001500C3"/>
    <w:rsid w:val="00151C97"/>
    <w:rsid w:val="00162B5C"/>
    <w:rsid w:val="001A0AD8"/>
    <w:rsid w:val="001A210E"/>
    <w:rsid w:val="001B6977"/>
    <w:rsid w:val="001C0EB9"/>
    <w:rsid w:val="001C27D4"/>
    <w:rsid w:val="001F27B9"/>
    <w:rsid w:val="001F35A2"/>
    <w:rsid w:val="001F6804"/>
    <w:rsid w:val="00201B0E"/>
    <w:rsid w:val="002224A6"/>
    <w:rsid w:val="00244C64"/>
    <w:rsid w:val="00251E6B"/>
    <w:rsid w:val="002616D7"/>
    <w:rsid w:val="00261F32"/>
    <w:rsid w:val="00264390"/>
    <w:rsid w:val="0027389F"/>
    <w:rsid w:val="00282BD9"/>
    <w:rsid w:val="00283A02"/>
    <w:rsid w:val="00286019"/>
    <w:rsid w:val="002A425D"/>
    <w:rsid w:val="002A719C"/>
    <w:rsid w:val="002A745B"/>
    <w:rsid w:val="002C6597"/>
    <w:rsid w:val="002D15D1"/>
    <w:rsid w:val="002E6DDB"/>
    <w:rsid w:val="002E77BE"/>
    <w:rsid w:val="0031203D"/>
    <w:rsid w:val="00315A68"/>
    <w:rsid w:val="00316663"/>
    <w:rsid w:val="00325392"/>
    <w:rsid w:val="003418B7"/>
    <w:rsid w:val="003477EB"/>
    <w:rsid w:val="00347BE4"/>
    <w:rsid w:val="003563E8"/>
    <w:rsid w:val="003A5101"/>
    <w:rsid w:val="003C3899"/>
    <w:rsid w:val="003D13E7"/>
    <w:rsid w:val="003D4CB2"/>
    <w:rsid w:val="003E08DC"/>
    <w:rsid w:val="003E326B"/>
    <w:rsid w:val="003E6836"/>
    <w:rsid w:val="00407F83"/>
    <w:rsid w:val="0041050C"/>
    <w:rsid w:val="00434B3A"/>
    <w:rsid w:val="00451543"/>
    <w:rsid w:val="004646D8"/>
    <w:rsid w:val="00490624"/>
    <w:rsid w:val="004941CD"/>
    <w:rsid w:val="00497568"/>
    <w:rsid w:val="004A1A85"/>
    <w:rsid w:val="004C5A90"/>
    <w:rsid w:val="004F1413"/>
    <w:rsid w:val="004F1A24"/>
    <w:rsid w:val="004F3C37"/>
    <w:rsid w:val="005110D5"/>
    <w:rsid w:val="0051553B"/>
    <w:rsid w:val="00525D72"/>
    <w:rsid w:val="00532B65"/>
    <w:rsid w:val="00532EBE"/>
    <w:rsid w:val="00533FB3"/>
    <w:rsid w:val="0055146E"/>
    <w:rsid w:val="005517E0"/>
    <w:rsid w:val="00555290"/>
    <w:rsid w:val="005571AA"/>
    <w:rsid w:val="00565178"/>
    <w:rsid w:val="005807F4"/>
    <w:rsid w:val="00581EAB"/>
    <w:rsid w:val="005965ED"/>
    <w:rsid w:val="005A61F1"/>
    <w:rsid w:val="005B2279"/>
    <w:rsid w:val="005B2D4E"/>
    <w:rsid w:val="005C7662"/>
    <w:rsid w:val="005D3FBE"/>
    <w:rsid w:val="005D5BC4"/>
    <w:rsid w:val="005D6123"/>
    <w:rsid w:val="005F71AF"/>
    <w:rsid w:val="0061097F"/>
    <w:rsid w:val="00640807"/>
    <w:rsid w:val="00643A36"/>
    <w:rsid w:val="00644E60"/>
    <w:rsid w:val="00665801"/>
    <w:rsid w:val="00666FC3"/>
    <w:rsid w:val="00676BB5"/>
    <w:rsid w:val="006948CA"/>
    <w:rsid w:val="006B2BC7"/>
    <w:rsid w:val="006E79D0"/>
    <w:rsid w:val="00710B8D"/>
    <w:rsid w:val="007177F3"/>
    <w:rsid w:val="00721041"/>
    <w:rsid w:val="007465C6"/>
    <w:rsid w:val="00750DD1"/>
    <w:rsid w:val="00757A3C"/>
    <w:rsid w:val="007656C7"/>
    <w:rsid w:val="00767BBA"/>
    <w:rsid w:val="007A530E"/>
    <w:rsid w:val="007B6413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1FC6"/>
    <w:rsid w:val="007E252F"/>
    <w:rsid w:val="007E79C6"/>
    <w:rsid w:val="00815A59"/>
    <w:rsid w:val="008327B6"/>
    <w:rsid w:val="00841529"/>
    <w:rsid w:val="0084270E"/>
    <w:rsid w:val="00842BB3"/>
    <w:rsid w:val="0084552A"/>
    <w:rsid w:val="0085507F"/>
    <w:rsid w:val="008631A7"/>
    <w:rsid w:val="00872DB9"/>
    <w:rsid w:val="00887A74"/>
    <w:rsid w:val="00894899"/>
    <w:rsid w:val="0089640E"/>
    <w:rsid w:val="00896738"/>
    <w:rsid w:val="00896A2E"/>
    <w:rsid w:val="008B2002"/>
    <w:rsid w:val="008B22C3"/>
    <w:rsid w:val="008D160A"/>
    <w:rsid w:val="008D1E4C"/>
    <w:rsid w:val="008F058B"/>
    <w:rsid w:val="008F4B2B"/>
    <w:rsid w:val="0090015E"/>
    <w:rsid w:val="00907F48"/>
    <w:rsid w:val="00914E53"/>
    <w:rsid w:val="00916E2C"/>
    <w:rsid w:val="009178CC"/>
    <w:rsid w:val="009225B5"/>
    <w:rsid w:val="009245E4"/>
    <w:rsid w:val="009318E0"/>
    <w:rsid w:val="00936E34"/>
    <w:rsid w:val="00944317"/>
    <w:rsid w:val="00991541"/>
    <w:rsid w:val="00996867"/>
    <w:rsid w:val="009A3D4E"/>
    <w:rsid w:val="009A4C72"/>
    <w:rsid w:val="009A6CEB"/>
    <w:rsid w:val="009B2936"/>
    <w:rsid w:val="009C3169"/>
    <w:rsid w:val="009C645F"/>
    <w:rsid w:val="009C745D"/>
    <w:rsid w:val="009D3019"/>
    <w:rsid w:val="009E17AE"/>
    <w:rsid w:val="009E52BE"/>
    <w:rsid w:val="009F3DE3"/>
    <w:rsid w:val="00A04DE7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05AF"/>
    <w:rsid w:val="00AC786D"/>
    <w:rsid w:val="00AE0D3C"/>
    <w:rsid w:val="00AF5548"/>
    <w:rsid w:val="00B04758"/>
    <w:rsid w:val="00B10860"/>
    <w:rsid w:val="00B131D3"/>
    <w:rsid w:val="00B13B0F"/>
    <w:rsid w:val="00B35D32"/>
    <w:rsid w:val="00B50699"/>
    <w:rsid w:val="00B566D0"/>
    <w:rsid w:val="00B60F5D"/>
    <w:rsid w:val="00B84C34"/>
    <w:rsid w:val="00BA07C2"/>
    <w:rsid w:val="00BA3A33"/>
    <w:rsid w:val="00BB5B80"/>
    <w:rsid w:val="00BC0E85"/>
    <w:rsid w:val="00BC3EF0"/>
    <w:rsid w:val="00BE0BBA"/>
    <w:rsid w:val="00BE1875"/>
    <w:rsid w:val="00BF494B"/>
    <w:rsid w:val="00BF602D"/>
    <w:rsid w:val="00C007FC"/>
    <w:rsid w:val="00C013C3"/>
    <w:rsid w:val="00C07A9A"/>
    <w:rsid w:val="00C14F59"/>
    <w:rsid w:val="00C23A74"/>
    <w:rsid w:val="00C31AEF"/>
    <w:rsid w:val="00C379EA"/>
    <w:rsid w:val="00C42C44"/>
    <w:rsid w:val="00C47388"/>
    <w:rsid w:val="00C51C15"/>
    <w:rsid w:val="00C77235"/>
    <w:rsid w:val="00C77C86"/>
    <w:rsid w:val="00C915C1"/>
    <w:rsid w:val="00CA09AF"/>
    <w:rsid w:val="00CA21C2"/>
    <w:rsid w:val="00CB2F2A"/>
    <w:rsid w:val="00CC062E"/>
    <w:rsid w:val="00CF1CD7"/>
    <w:rsid w:val="00CF3462"/>
    <w:rsid w:val="00CF43BC"/>
    <w:rsid w:val="00D05D91"/>
    <w:rsid w:val="00D17B45"/>
    <w:rsid w:val="00D22C21"/>
    <w:rsid w:val="00D26449"/>
    <w:rsid w:val="00D30DAF"/>
    <w:rsid w:val="00D446BA"/>
    <w:rsid w:val="00D44BEC"/>
    <w:rsid w:val="00D52330"/>
    <w:rsid w:val="00D73137"/>
    <w:rsid w:val="00D760EE"/>
    <w:rsid w:val="00D8797E"/>
    <w:rsid w:val="00D930F0"/>
    <w:rsid w:val="00DA3DEB"/>
    <w:rsid w:val="00DA58C1"/>
    <w:rsid w:val="00DB285C"/>
    <w:rsid w:val="00DB29B5"/>
    <w:rsid w:val="00DC23DF"/>
    <w:rsid w:val="00DC2E0A"/>
    <w:rsid w:val="00DD0BAE"/>
    <w:rsid w:val="00DE66D5"/>
    <w:rsid w:val="00DF462F"/>
    <w:rsid w:val="00DF68CC"/>
    <w:rsid w:val="00E01537"/>
    <w:rsid w:val="00E25F2B"/>
    <w:rsid w:val="00E455D6"/>
    <w:rsid w:val="00E54441"/>
    <w:rsid w:val="00E924F9"/>
    <w:rsid w:val="00E96E48"/>
    <w:rsid w:val="00EB676E"/>
    <w:rsid w:val="00EE3E55"/>
    <w:rsid w:val="00EE6A92"/>
    <w:rsid w:val="00EF0566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0BE"/>
    <w:rsid w:val="00F43ADE"/>
    <w:rsid w:val="00F448AF"/>
    <w:rsid w:val="00F44978"/>
    <w:rsid w:val="00F45720"/>
    <w:rsid w:val="00F60E52"/>
    <w:rsid w:val="00F6600F"/>
    <w:rsid w:val="00F6711F"/>
    <w:rsid w:val="00F7778E"/>
    <w:rsid w:val="00F80E70"/>
    <w:rsid w:val="00F8451A"/>
    <w:rsid w:val="00F857EC"/>
    <w:rsid w:val="00F92AA5"/>
    <w:rsid w:val="00F93BAA"/>
    <w:rsid w:val="00FB0F00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6E3A0FE2-E308-4678-A0E2-4E8C8F28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403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2008-05-23T13:02:00Z</cp:lastPrinted>
  <dcterms:created xsi:type="dcterms:W3CDTF">2026-07-16T19:48:00Z</dcterms:created>
  <dcterms:modified xsi:type="dcterms:W3CDTF">2026-07-16T19:48:00Z</dcterms:modified>
</cp:coreProperties>
</file>