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D30DAF" w:rsidP="005A5A24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 xml:space="preserve">Información sobre </w:t>
      </w:r>
      <w:smartTag w:uri="urn:schemas-microsoft-com:office:smarttags" w:element="PersonName">
        <w:smartTagPr>
          <w:attr w:name="ProductID" w:val="LA MATERIA PRIMA"/>
        </w:smartTagPr>
        <w:r>
          <w:rPr>
            <w:caps/>
            <w:sz w:val="24"/>
            <w:szCs w:val="24"/>
          </w:rPr>
          <w:t>la MAteria Prima</w:t>
        </w:r>
      </w:smartTag>
      <w:r w:rsidR="00F92AA5">
        <w:rPr>
          <w:caps/>
        </w:rPr>
        <w:t>:</w:t>
      </w:r>
      <w:bookmarkEnd w:id="0"/>
      <w:bookmarkEnd w:id="1"/>
      <w:bookmarkEnd w:id="2"/>
    </w:p>
    <w:p w:rsidR="00D30DAF" w:rsidRPr="00D30DAF" w:rsidRDefault="00D30DAF" w:rsidP="005A5A24">
      <w:pPr>
        <w:keepNext/>
      </w:pPr>
    </w:p>
    <w:p w:rsidR="005A4D04" w:rsidRPr="005A4D0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>Sinonimia:</w:t>
      </w:r>
      <w:r>
        <w:rPr>
          <w:rFonts w:ascii="Arial" w:hAnsi="Arial" w:cs="Arial"/>
          <w:lang w:val="es-AR"/>
        </w:rPr>
        <w:t xml:space="preserve"> Cefalexina </w:t>
      </w:r>
      <w:r w:rsidR="00DA6AC4">
        <w:rPr>
          <w:rFonts w:ascii="Arial" w:hAnsi="Arial" w:cs="Arial"/>
          <w:lang w:val="es-AR"/>
        </w:rPr>
        <w:t xml:space="preserve">Monohidrato </w:t>
      </w:r>
      <w:r w:rsidRPr="005A4D04">
        <w:rPr>
          <w:rFonts w:ascii="Arial" w:hAnsi="Arial" w:cs="Arial"/>
          <w:lang w:val="es-AR"/>
        </w:rPr>
        <w:t>polvo</w:t>
      </w:r>
      <w:r w:rsidR="00DA6AC4">
        <w:rPr>
          <w:rFonts w:ascii="Arial" w:hAnsi="Arial" w:cs="Arial"/>
          <w:lang w:val="es-AR"/>
        </w:rPr>
        <w:t>; Cefalexina; Cefalexina monohidrato.</w:t>
      </w:r>
    </w:p>
    <w:p w:rsidR="005A4D04" w:rsidRPr="00DA6AC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>CAS N°:</w:t>
      </w:r>
      <w:r w:rsidRPr="005A4D04">
        <w:rPr>
          <w:rFonts w:ascii="Arial" w:hAnsi="Arial" w:cs="Arial"/>
          <w:lang w:val="es-AR"/>
        </w:rPr>
        <w:t xml:space="preserve"> </w:t>
      </w:r>
      <w:r w:rsidRPr="00DA6AC4">
        <w:rPr>
          <w:rFonts w:ascii="Arial" w:hAnsi="Arial" w:cs="Arial"/>
          <w:lang w:val="es-AR"/>
        </w:rPr>
        <w:t>[ 23325-78-2 ]</w:t>
      </w:r>
    </w:p>
    <w:p w:rsidR="005A4D0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u w:val="single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>Nombre químico:</w:t>
      </w:r>
    </w:p>
    <w:p w:rsidR="005A4D04" w:rsidRPr="005A4D04" w:rsidRDefault="005A4D04" w:rsidP="00DA6AC4">
      <w:pPr>
        <w:keepNext/>
        <w:numPr>
          <w:ilvl w:val="0"/>
          <w:numId w:val="20"/>
        </w:numPr>
        <w:jc w:val="both"/>
        <w:rPr>
          <w:rFonts w:ascii="Arial" w:hAnsi="Arial" w:cs="Arial"/>
          <w:u w:val="single"/>
          <w:lang w:val="es-AR"/>
        </w:rPr>
      </w:pPr>
      <w:r w:rsidRPr="005A4D04">
        <w:rPr>
          <w:rFonts w:ascii="Arial" w:hAnsi="Arial" w:cs="Arial"/>
          <w:lang w:val="es-AR"/>
        </w:rPr>
        <w:t>Según USP 30: Ácido (6R,</w:t>
      </w:r>
      <w:r w:rsidR="00DA6AC4">
        <w:rPr>
          <w:rFonts w:ascii="Arial" w:hAnsi="Arial" w:cs="Arial"/>
          <w:lang w:val="es-AR"/>
        </w:rPr>
        <w:t>7R)-7-[ (R)-2-amino-2-fenilaceta</w:t>
      </w:r>
      <w:r w:rsidRPr="005A4D04">
        <w:rPr>
          <w:rFonts w:ascii="Arial" w:hAnsi="Arial" w:cs="Arial"/>
          <w:lang w:val="es-AR"/>
        </w:rPr>
        <w:t>nido ]-3-metil-8-oxo-5-tia-1-azabic</w:t>
      </w:r>
      <w:r w:rsidR="00DA6AC4">
        <w:rPr>
          <w:rFonts w:ascii="Arial" w:hAnsi="Arial" w:cs="Arial"/>
          <w:lang w:val="es-AR"/>
        </w:rPr>
        <w:t>iclo [4.2.0 ] oct-2-en-2-carboxí</w:t>
      </w:r>
      <w:r w:rsidRPr="005A4D04">
        <w:rPr>
          <w:rFonts w:ascii="Arial" w:hAnsi="Arial" w:cs="Arial"/>
          <w:lang w:val="es-AR"/>
        </w:rPr>
        <w:t>lico,</w:t>
      </w:r>
      <w:r w:rsidR="00DA6AC4">
        <w:rPr>
          <w:rFonts w:ascii="Arial" w:hAnsi="Arial" w:cs="Arial"/>
          <w:lang w:val="es-AR"/>
        </w:rPr>
        <w:t xml:space="preserve"> </w:t>
      </w:r>
      <w:r w:rsidRPr="005A4D04">
        <w:rPr>
          <w:rFonts w:ascii="Arial" w:hAnsi="Arial" w:cs="Arial"/>
          <w:lang w:val="es-AR"/>
        </w:rPr>
        <w:t>monohidrato.</w:t>
      </w:r>
    </w:p>
    <w:p w:rsidR="005A4D04" w:rsidRPr="005A4D04" w:rsidRDefault="005A4D04" w:rsidP="005A5A24">
      <w:pPr>
        <w:keepNext/>
        <w:ind w:left="720"/>
        <w:rPr>
          <w:rFonts w:ascii="Arial" w:hAnsi="Arial" w:cs="Arial"/>
          <w:u w:val="single"/>
          <w:lang w:val="es-AR"/>
        </w:rPr>
      </w:pPr>
    </w:p>
    <w:p w:rsidR="005A4D04" w:rsidRPr="005A4D04" w:rsidRDefault="005A4D04" w:rsidP="00DA6AC4">
      <w:pPr>
        <w:keepNext/>
        <w:numPr>
          <w:ilvl w:val="0"/>
          <w:numId w:val="20"/>
        </w:numPr>
        <w:jc w:val="both"/>
        <w:rPr>
          <w:rFonts w:ascii="Arial" w:hAnsi="Arial" w:cs="Arial"/>
          <w:u w:val="single"/>
          <w:lang w:val="es-AR"/>
        </w:rPr>
      </w:pPr>
      <w:r w:rsidRPr="005A4D04">
        <w:rPr>
          <w:rFonts w:ascii="Arial" w:hAnsi="Arial" w:cs="Arial"/>
          <w:lang w:val="es-AR"/>
        </w:rPr>
        <w:t>Según Eur.</w:t>
      </w:r>
      <w:r w:rsidR="00DA6AC4">
        <w:rPr>
          <w:rFonts w:ascii="Arial" w:hAnsi="Arial" w:cs="Arial"/>
          <w:lang w:val="es-AR"/>
        </w:rPr>
        <w:t xml:space="preserve"> Ph. 4ª ed: (</w:t>
      </w:r>
      <w:r w:rsidRPr="005A4D04">
        <w:rPr>
          <w:rFonts w:ascii="Arial" w:hAnsi="Arial" w:cs="Arial"/>
          <w:lang w:val="es-AR"/>
        </w:rPr>
        <w:t>6R,7R) –7-[ [ (2R)-2</w:t>
      </w:r>
      <w:r w:rsidR="00DA6AC4">
        <w:rPr>
          <w:rFonts w:ascii="Arial" w:hAnsi="Arial" w:cs="Arial"/>
          <w:lang w:val="es-AR"/>
        </w:rPr>
        <w:t>-amino-2-phenylacetyl</w:t>
      </w:r>
      <w:r w:rsidRPr="005A4D04">
        <w:rPr>
          <w:rFonts w:ascii="Arial" w:hAnsi="Arial" w:cs="Arial"/>
          <w:lang w:val="es-AR"/>
        </w:rPr>
        <w:t>]</w:t>
      </w:r>
      <w:r w:rsidR="00DA6AC4">
        <w:rPr>
          <w:rFonts w:ascii="Arial" w:hAnsi="Arial" w:cs="Arial"/>
          <w:lang w:val="es-AR"/>
        </w:rPr>
        <w:t xml:space="preserve"> </w:t>
      </w:r>
      <w:r w:rsidRPr="005A4D04">
        <w:rPr>
          <w:rFonts w:ascii="Arial" w:hAnsi="Arial" w:cs="Arial"/>
          <w:lang w:val="es-AR"/>
        </w:rPr>
        <w:t>amino ]-3-methyl-8-oxo-5-thia-1-azabicyclo [ 4.2.0 ] oct-2-ene-2-carboxylic acid.</w:t>
      </w:r>
    </w:p>
    <w:p w:rsidR="005A4D04" w:rsidRPr="005A4D04" w:rsidRDefault="005A4D04" w:rsidP="005A5A24">
      <w:pPr>
        <w:keepNext/>
        <w:jc w:val="both"/>
        <w:rPr>
          <w:rFonts w:ascii="Arial" w:hAnsi="Arial" w:cs="Arial"/>
          <w:lang w:val="es-AR"/>
        </w:rPr>
      </w:pPr>
    </w:p>
    <w:p w:rsidR="005A4D04" w:rsidRPr="005A4D0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>Fórmula molecular</w:t>
      </w:r>
      <w:r w:rsidRPr="005A4D04">
        <w:rPr>
          <w:rFonts w:ascii="Arial" w:hAnsi="Arial" w:cs="Arial"/>
          <w:lang w:val="es-AR"/>
        </w:rPr>
        <w:t xml:space="preserve"> (FM): C</w:t>
      </w:r>
      <w:r w:rsidRPr="00DA6AC4">
        <w:rPr>
          <w:rFonts w:ascii="Arial" w:hAnsi="Arial" w:cs="Arial"/>
          <w:sz w:val="16"/>
          <w:szCs w:val="16"/>
          <w:lang w:val="es-AR"/>
        </w:rPr>
        <w:t>16</w:t>
      </w:r>
      <w:r w:rsidRPr="005A4D04">
        <w:rPr>
          <w:rFonts w:ascii="Arial" w:hAnsi="Arial" w:cs="Arial"/>
          <w:lang w:val="es-AR"/>
        </w:rPr>
        <w:t>H</w:t>
      </w:r>
      <w:r w:rsidRPr="00DA6AC4">
        <w:rPr>
          <w:rFonts w:ascii="Arial" w:hAnsi="Arial" w:cs="Arial"/>
          <w:sz w:val="16"/>
          <w:szCs w:val="16"/>
          <w:lang w:val="es-AR"/>
        </w:rPr>
        <w:t>17</w:t>
      </w:r>
      <w:r w:rsidRPr="005A4D04">
        <w:rPr>
          <w:rFonts w:ascii="Arial" w:hAnsi="Arial" w:cs="Arial"/>
          <w:lang w:val="es-AR"/>
        </w:rPr>
        <w:t>N</w:t>
      </w:r>
      <w:r w:rsidRPr="00DA6AC4">
        <w:rPr>
          <w:rFonts w:ascii="Arial" w:hAnsi="Arial" w:cs="Arial"/>
          <w:sz w:val="16"/>
          <w:szCs w:val="16"/>
          <w:lang w:val="es-AR"/>
        </w:rPr>
        <w:t>3</w:t>
      </w:r>
      <w:r w:rsidRPr="005A4D04">
        <w:rPr>
          <w:rFonts w:ascii="Arial" w:hAnsi="Arial" w:cs="Arial"/>
          <w:lang w:val="es-AR"/>
        </w:rPr>
        <w:t>O</w:t>
      </w:r>
      <w:r w:rsidRPr="00DA6AC4">
        <w:rPr>
          <w:rFonts w:ascii="Arial" w:hAnsi="Arial" w:cs="Arial"/>
          <w:sz w:val="16"/>
          <w:szCs w:val="16"/>
          <w:lang w:val="es-AR"/>
        </w:rPr>
        <w:t>4</w:t>
      </w:r>
      <w:r w:rsidRPr="005A4D04">
        <w:rPr>
          <w:rFonts w:ascii="Arial" w:hAnsi="Arial" w:cs="Arial"/>
          <w:lang w:val="es-AR"/>
        </w:rPr>
        <w:t>S. H</w:t>
      </w:r>
      <w:r w:rsidRPr="00DA6AC4">
        <w:rPr>
          <w:rFonts w:ascii="Arial" w:hAnsi="Arial" w:cs="Arial"/>
          <w:sz w:val="16"/>
          <w:szCs w:val="16"/>
          <w:lang w:val="es-AR"/>
        </w:rPr>
        <w:t>2</w:t>
      </w:r>
      <w:r w:rsidRPr="005A4D04">
        <w:rPr>
          <w:rFonts w:ascii="Arial" w:hAnsi="Arial" w:cs="Arial"/>
          <w:lang w:val="es-AR"/>
        </w:rPr>
        <w:t>O</w:t>
      </w:r>
    </w:p>
    <w:p w:rsidR="005A4D04" w:rsidRPr="005A4D0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 xml:space="preserve">Peso molecular </w:t>
      </w:r>
      <w:r w:rsidR="00DA6AC4">
        <w:rPr>
          <w:rFonts w:ascii="Arial" w:hAnsi="Arial" w:cs="Arial"/>
          <w:lang w:val="es-AR"/>
        </w:rPr>
        <w:t>(PM): Anhidro: 347,40;</w:t>
      </w:r>
      <w:r w:rsidRPr="005A4D04">
        <w:rPr>
          <w:rFonts w:ascii="Arial" w:hAnsi="Arial" w:cs="Arial"/>
          <w:lang w:val="es-AR"/>
        </w:rPr>
        <w:t xml:space="preserve"> Monohidrato: 365,41</w:t>
      </w:r>
    </w:p>
    <w:p w:rsidR="005A4D04" w:rsidRPr="005A4D04" w:rsidRDefault="005A4D04" w:rsidP="005A5A24">
      <w:pPr>
        <w:keepNext/>
        <w:numPr>
          <w:ilvl w:val="0"/>
          <w:numId w:val="18"/>
        </w:numPr>
        <w:rPr>
          <w:rFonts w:ascii="Arial" w:hAnsi="Arial" w:cs="Arial"/>
          <w:lang w:val="es-AR"/>
        </w:rPr>
      </w:pPr>
      <w:r w:rsidRPr="005A4D04">
        <w:rPr>
          <w:rFonts w:ascii="Arial" w:hAnsi="Arial" w:cs="Arial"/>
          <w:u w:val="single"/>
          <w:lang w:val="es-AR"/>
        </w:rPr>
        <w:t>Envasado y almacenamiento</w:t>
      </w:r>
      <w:r w:rsidRPr="005A4D04">
        <w:rPr>
          <w:rFonts w:ascii="Arial" w:hAnsi="Arial" w:cs="Arial"/>
          <w:lang w:val="es-AR"/>
        </w:rPr>
        <w:t>: Conservar en envases impermeables.</w:t>
      </w:r>
    </w:p>
    <w:p w:rsidR="0012000C" w:rsidRPr="00AF5548" w:rsidRDefault="0012000C" w:rsidP="005A5A24">
      <w:pPr>
        <w:keepNext/>
        <w:rPr>
          <w:rFonts w:ascii="Arial" w:hAnsi="Arial" w:cs="Arial"/>
          <w:lang w:val="es-AR"/>
        </w:rPr>
      </w:pPr>
    </w:p>
    <w:p w:rsidR="00325392" w:rsidRDefault="00F92AA5" w:rsidP="005A5A24">
      <w:pPr>
        <w:pStyle w:val="Ttulo1"/>
        <w:keepLines/>
        <w:widowControl w:val="0"/>
        <w:spacing w:before="0" w:after="0"/>
        <w:jc w:val="both"/>
      </w:pPr>
      <w:r w:rsidRPr="00407F83">
        <w:rPr>
          <w:caps/>
          <w:sz w:val="24"/>
          <w:szCs w:val="24"/>
        </w:rPr>
        <w:t>Determinaciones</w:t>
      </w:r>
      <w:r>
        <w:t>:</w:t>
      </w:r>
    </w:p>
    <w:p w:rsidR="009C3169" w:rsidRPr="009C3169" w:rsidRDefault="009C3169" w:rsidP="005A5A24">
      <w:pPr>
        <w:keepNext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1"/>
        <w:gridCol w:w="3963"/>
        <w:gridCol w:w="2088"/>
        <w:gridCol w:w="2036"/>
      </w:tblGrid>
      <w:tr w:rsidR="00F92AA5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407F83" w:rsidRDefault="00F92AA5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00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407F83" w:rsidRDefault="00F92AA5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29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35" w:type="pct"/>
            <w:tcBorders>
              <w:bottom w:val="double" w:sz="4" w:space="0" w:color="auto"/>
            </w:tcBorders>
            <w:vAlign w:val="center"/>
          </w:tcPr>
          <w:p w:rsidR="000501F5" w:rsidRPr="00407F83" w:rsidRDefault="00F92AA5" w:rsidP="005A5A24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12000C" w:rsidRPr="009C3169">
        <w:tblPrEx>
          <w:tblCellMar>
            <w:top w:w="0" w:type="dxa"/>
            <w:bottom w:w="0" w:type="dxa"/>
          </w:tblCellMar>
        </w:tblPrEx>
        <w:trPr>
          <w:trHeight w:val="556"/>
          <w:jc w:val="center"/>
        </w:trPr>
        <w:tc>
          <w:tcPr>
            <w:tcW w:w="936" w:type="pct"/>
            <w:tcBorders>
              <w:top w:val="double" w:sz="4" w:space="0" w:color="auto"/>
              <w:right w:val="double" w:sz="4" w:space="0" w:color="auto"/>
            </w:tcBorders>
          </w:tcPr>
          <w:p w:rsidR="0012000C" w:rsidRPr="006E79D0" w:rsidRDefault="0012000C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6E79D0">
              <w:rPr>
                <w:rFonts w:ascii="Arial" w:hAnsi="Arial" w:cs="Arial"/>
                <w:b/>
                <w:lang w:val="es-AR"/>
              </w:rPr>
              <w:t>Aspecto</w:t>
            </w:r>
          </w:p>
          <w:p w:rsidR="0012000C" w:rsidRPr="006E79D0" w:rsidRDefault="0012000C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00" w:type="pct"/>
            <w:tcBorders>
              <w:top w:val="double" w:sz="4" w:space="0" w:color="auto"/>
              <w:left w:val="double" w:sz="4" w:space="0" w:color="auto"/>
            </w:tcBorders>
          </w:tcPr>
          <w:p w:rsidR="0012000C" w:rsidRPr="0012000C" w:rsidRDefault="0012000C" w:rsidP="005A5A24">
            <w:pPr>
              <w:keepNext/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Polvo cristalino blanco</w:t>
            </w:r>
            <w:r w:rsidR="006E79D0">
              <w:rPr>
                <w:rFonts w:ascii="Arial" w:hAnsi="Arial" w:cs="Arial"/>
                <w:lang w:val="es-AR"/>
              </w:rPr>
              <w:t xml:space="preserve"> o casi blanco</w:t>
            </w:r>
          </w:p>
        </w:tc>
        <w:tc>
          <w:tcPr>
            <w:tcW w:w="1029" w:type="pct"/>
            <w:tcBorders>
              <w:top w:val="double" w:sz="4" w:space="0" w:color="auto"/>
            </w:tcBorders>
          </w:tcPr>
          <w:p w:rsidR="0012000C" w:rsidRPr="0012000C" w:rsidRDefault="0012000C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 xml:space="preserve">Observación visual </w:t>
            </w:r>
          </w:p>
        </w:tc>
        <w:tc>
          <w:tcPr>
            <w:tcW w:w="1035" w:type="pct"/>
            <w:tcBorders>
              <w:top w:val="double" w:sz="4" w:space="0" w:color="auto"/>
            </w:tcBorders>
          </w:tcPr>
          <w:p w:rsidR="0012000C" w:rsidRPr="0012000C" w:rsidRDefault="0012000C" w:rsidP="005A5A24">
            <w:pPr>
              <w:keepNext/>
              <w:rPr>
                <w:rFonts w:ascii="Arial" w:hAnsi="Arial" w:cs="Arial"/>
                <w:lang w:val="es-AR"/>
              </w:rPr>
            </w:pPr>
            <w:r w:rsidRPr="0012000C">
              <w:rPr>
                <w:rFonts w:ascii="Arial" w:hAnsi="Arial" w:cs="Arial"/>
                <w:lang w:val="es-AR"/>
              </w:rPr>
              <w:t>USP 30</w:t>
            </w:r>
          </w:p>
          <w:p w:rsidR="0012000C" w:rsidRPr="0012000C" w:rsidRDefault="0012000C" w:rsidP="005A5A24">
            <w:pPr>
              <w:keepNext/>
              <w:rPr>
                <w:rFonts w:ascii="Arial" w:hAnsi="Arial" w:cs="Arial"/>
                <w:lang w:val="es-AR"/>
              </w:rPr>
            </w:pPr>
          </w:p>
        </w:tc>
      </w:tr>
      <w:tr w:rsidR="006E79D0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6E79D0">
              <w:rPr>
                <w:rFonts w:ascii="Arial" w:hAnsi="Arial" w:cs="Arial"/>
                <w:b/>
                <w:lang w:val="es-AR"/>
              </w:rPr>
              <w:t>Solubilidad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Poco soluble en agua; prácticamente insoluble en alcohol, en cloroformo y en éter.</w:t>
            </w:r>
          </w:p>
        </w:tc>
        <w:tc>
          <w:tcPr>
            <w:tcW w:w="1029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Mecánico</w:t>
            </w:r>
            <w:r w:rsidR="00DA6AC4">
              <w:rPr>
                <w:rFonts w:ascii="Arial" w:hAnsi="Arial" w:cs="Arial"/>
                <w:lang w:val="es-AR"/>
              </w:rPr>
              <w:t xml:space="preserve"> -</w:t>
            </w:r>
            <w:r>
              <w:rPr>
                <w:rFonts w:ascii="Arial" w:hAnsi="Arial" w:cs="Arial"/>
                <w:lang w:val="es-AR"/>
              </w:rPr>
              <w:t xml:space="preserve"> visual</w:t>
            </w:r>
          </w:p>
        </w:tc>
        <w:tc>
          <w:tcPr>
            <w:tcW w:w="1035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9C3169" w:rsidRPr="00F430BE" w:rsidRDefault="009C3169" w:rsidP="005A5A24">
            <w:pPr>
              <w:keepNext/>
              <w:jc w:val="both"/>
              <w:rPr>
                <w:rFonts w:ascii="Arial" w:hAnsi="Arial" w:cs="Arial"/>
                <w:b/>
                <w:lang w:val="es-AR"/>
              </w:rPr>
            </w:pPr>
            <w:r w:rsidRPr="00F430BE">
              <w:rPr>
                <w:rFonts w:ascii="Arial" w:hAnsi="Arial" w:cs="Arial"/>
                <w:b/>
                <w:lang w:val="es-AR"/>
              </w:rPr>
              <w:t>Identificación por espectroscopia IR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9C3169" w:rsidRPr="009C3169" w:rsidRDefault="009C3169" w:rsidP="005A5A24">
            <w:pPr>
              <w:keepNext/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El espectro </w:t>
            </w:r>
            <w:r w:rsidR="00DA6AC4">
              <w:rPr>
                <w:rFonts w:ascii="Arial" w:hAnsi="Arial" w:cs="Arial"/>
                <w:lang w:val="es-AR"/>
              </w:rPr>
              <w:t xml:space="preserve">IR </w:t>
            </w:r>
            <w:r w:rsidRPr="009C3169">
              <w:rPr>
                <w:rFonts w:ascii="Arial" w:hAnsi="Arial" w:cs="Arial"/>
                <w:lang w:val="es-AR"/>
              </w:rPr>
              <w:t xml:space="preserve">obtenido debe ser comparable al de un estándar de referencia. </w:t>
            </w:r>
          </w:p>
        </w:tc>
        <w:tc>
          <w:tcPr>
            <w:tcW w:w="1029" w:type="pct"/>
          </w:tcPr>
          <w:p w:rsidR="009C3169" w:rsidRPr="009C3169" w:rsidRDefault="00DF4AED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Espectroscopí</w:t>
            </w:r>
            <w:r w:rsidR="009C3169" w:rsidRPr="009C3169">
              <w:rPr>
                <w:rFonts w:ascii="Arial" w:hAnsi="Arial" w:cs="Arial"/>
                <w:lang w:val="es-AR"/>
              </w:rPr>
              <w:t>a IR.</w:t>
            </w:r>
          </w:p>
        </w:tc>
        <w:tc>
          <w:tcPr>
            <w:tcW w:w="1035" w:type="pct"/>
          </w:tcPr>
          <w:p w:rsidR="009C3169" w:rsidRPr="009C3169" w:rsidRDefault="009C3169" w:rsidP="005A5A24">
            <w:pPr>
              <w:keepNext/>
              <w:rPr>
                <w:rFonts w:ascii="Arial" w:hAnsi="Arial" w:cs="Arial"/>
                <w:lang w:val="es-AR"/>
              </w:rPr>
            </w:pPr>
            <w:r w:rsidRPr="009C3169">
              <w:rPr>
                <w:rFonts w:ascii="Arial" w:hAnsi="Arial" w:cs="Arial"/>
                <w:lang w:val="es-AR"/>
              </w:rPr>
              <w:t xml:space="preserve">USP 30 </w:t>
            </w:r>
          </w:p>
        </w:tc>
      </w:tr>
      <w:tr w:rsidR="006E79D0" w:rsidRPr="006E79D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" w:type="pct"/>
            <w:tcBorders>
              <w:right w:val="double" w:sz="4" w:space="0" w:color="auto"/>
            </w:tcBorders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I</w:t>
            </w:r>
            <w:r w:rsidRPr="006E79D0">
              <w:rPr>
                <w:rFonts w:ascii="Arial" w:hAnsi="Arial" w:cs="Arial"/>
                <w:b/>
                <w:lang w:val="es-AR"/>
              </w:rPr>
              <w:t>dentificación por espectroscopía UV</w:t>
            </w:r>
          </w:p>
        </w:tc>
        <w:tc>
          <w:tcPr>
            <w:tcW w:w="2000" w:type="pct"/>
            <w:tcBorders>
              <w:left w:val="double" w:sz="4" w:space="0" w:color="auto"/>
            </w:tcBorders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 xml:space="preserve">El espectro </w:t>
            </w:r>
            <w:r w:rsidR="00DA6AC4">
              <w:rPr>
                <w:rFonts w:ascii="Arial" w:hAnsi="Arial" w:cs="Arial"/>
                <w:lang w:val="es-AR"/>
              </w:rPr>
              <w:t xml:space="preserve">UV </w:t>
            </w:r>
            <w:r w:rsidRPr="006E79D0">
              <w:rPr>
                <w:rFonts w:ascii="Arial" w:hAnsi="Arial" w:cs="Arial"/>
                <w:lang w:val="es-AR"/>
              </w:rPr>
              <w:t>obtenido debe ser comparable al de un estándar de referencia.</w:t>
            </w:r>
          </w:p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La absortividad,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6E79D0">
              <w:rPr>
                <w:rFonts w:ascii="Arial" w:hAnsi="Arial" w:cs="Arial"/>
                <w:lang w:val="es-AR"/>
              </w:rPr>
              <w:t xml:space="preserve">calculada con respecto a la sustancia anhidra, a la λ de máxima absorbancia, </w:t>
            </w:r>
            <w:r>
              <w:rPr>
                <w:rFonts w:ascii="Arial" w:hAnsi="Arial" w:cs="Arial"/>
                <w:lang w:val="es-AR"/>
              </w:rPr>
              <w:t>(</w:t>
            </w:r>
            <w:r w:rsidRPr="006E79D0">
              <w:rPr>
                <w:rFonts w:ascii="Arial" w:hAnsi="Arial" w:cs="Arial"/>
                <w:lang w:val="es-AR"/>
              </w:rPr>
              <w:t>aprox</w:t>
            </w:r>
            <w:r w:rsidR="00DA6AC4">
              <w:rPr>
                <w:rFonts w:ascii="Arial" w:hAnsi="Arial" w:cs="Arial"/>
                <w:lang w:val="es-AR"/>
              </w:rPr>
              <w:t>.</w:t>
            </w:r>
            <w:r w:rsidRPr="006E79D0">
              <w:rPr>
                <w:rFonts w:ascii="Arial" w:hAnsi="Arial" w:cs="Arial"/>
                <w:lang w:val="es-AR"/>
              </w:rPr>
              <w:t xml:space="preserve"> a 262 nm</w:t>
            </w:r>
            <w:r>
              <w:rPr>
                <w:rFonts w:ascii="Arial" w:hAnsi="Arial" w:cs="Arial"/>
                <w:lang w:val="es-AR"/>
              </w:rPr>
              <w:t>)</w:t>
            </w:r>
            <w:r w:rsidRPr="006E79D0">
              <w:rPr>
                <w:rFonts w:ascii="Arial" w:hAnsi="Arial" w:cs="Arial"/>
                <w:lang w:val="es-AR"/>
              </w:rPr>
              <w:t xml:space="preserve">, es de 95,0 – 104,0 % de la absortividad del </w:t>
            </w:r>
            <w:r w:rsidR="00DA6AC4" w:rsidRPr="006E79D0">
              <w:rPr>
                <w:rFonts w:ascii="Arial" w:hAnsi="Arial" w:cs="Arial"/>
                <w:lang w:val="es-AR"/>
              </w:rPr>
              <w:t>estándar</w:t>
            </w:r>
            <w:r w:rsidRPr="006E79D0">
              <w:rPr>
                <w:rFonts w:ascii="Arial" w:hAnsi="Arial" w:cs="Arial"/>
                <w:lang w:val="es-AR"/>
              </w:rPr>
              <w:t xml:space="preserve"> de referencia, teniendo en cuenta la potencia del </w:t>
            </w:r>
            <w:r w:rsidR="00DA6AC4" w:rsidRPr="006E79D0">
              <w:rPr>
                <w:rFonts w:ascii="Arial" w:hAnsi="Arial" w:cs="Arial"/>
                <w:lang w:val="es-AR"/>
              </w:rPr>
              <w:t>mismo</w:t>
            </w:r>
            <w:r w:rsidRPr="006E79D0">
              <w:rPr>
                <w:rFonts w:ascii="Arial" w:hAnsi="Arial" w:cs="Arial"/>
                <w:lang w:val="es-AR"/>
              </w:rPr>
              <w:t>.</w:t>
            </w:r>
          </w:p>
        </w:tc>
        <w:tc>
          <w:tcPr>
            <w:tcW w:w="1029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Espectofotometría U.V</w:t>
            </w:r>
          </w:p>
        </w:tc>
        <w:tc>
          <w:tcPr>
            <w:tcW w:w="1035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5A5A24">
      <w:pPr>
        <w:keepNext/>
        <w:keepLines/>
        <w:widowControl w:val="0"/>
        <w:rPr>
          <w:rFonts w:ascii="Arial" w:hAnsi="Arial" w:cs="Arial"/>
        </w:rPr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9C3169" w:rsidRPr="00407F8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9C3169" w:rsidRPr="00407F83" w:rsidRDefault="009C3169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9C3169" w:rsidRPr="00407F83" w:rsidRDefault="009C3169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5A5A24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9C3169" w:rsidRPr="00407F83" w:rsidRDefault="009C3169" w:rsidP="005A5A24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407F83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Identificación por TLC</w:t>
            </w:r>
          </w:p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El Rf de la mancha principal obtenida con la muestra se corresponde con el del testigo en el cromatograma obtenido.</w:t>
            </w:r>
          </w:p>
        </w:tc>
        <w:tc>
          <w:tcPr>
            <w:tcW w:w="1008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TLC</w:t>
            </w:r>
          </w:p>
        </w:tc>
        <w:tc>
          <w:tcPr>
            <w:tcW w:w="1051" w:type="pct"/>
          </w:tcPr>
          <w:p w:rsidR="006E79D0" w:rsidRPr="006E79D0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6E79D0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Identificación por HPLC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DA6AC4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D</w:t>
            </w:r>
            <w:r w:rsidRPr="00C31AEF">
              <w:rPr>
                <w:rFonts w:ascii="Arial" w:hAnsi="Arial" w:cs="Arial"/>
                <w:lang w:val="es-AR"/>
              </w:rPr>
              <w:t xml:space="preserve">ebe coincidir </w:t>
            </w:r>
            <w:r>
              <w:rPr>
                <w:rFonts w:ascii="Arial" w:hAnsi="Arial" w:cs="Arial"/>
                <w:lang w:val="es-AR"/>
              </w:rPr>
              <w:t>e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l </w:t>
            </w:r>
            <w:r w:rsidR="00C31AEF">
              <w:rPr>
                <w:rFonts w:ascii="Arial" w:hAnsi="Arial" w:cs="Arial"/>
                <w:lang w:val="es-AR"/>
              </w:rPr>
              <w:t xml:space="preserve">Tr 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del pico principal de la muestra con el </w:t>
            </w:r>
            <w:r w:rsidR="00C31AEF">
              <w:rPr>
                <w:rFonts w:ascii="Arial" w:hAnsi="Arial" w:cs="Arial"/>
                <w:lang w:val="es-AR"/>
              </w:rPr>
              <w:t>Tr</w:t>
            </w:r>
            <w:r w:rsidR="006E79D0" w:rsidRPr="00C31AEF">
              <w:rPr>
                <w:rFonts w:ascii="Arial" w:hAnsi="Arial" w:cs="Arial"/>
                <w:lang w:val="es-AR"/>
              </w:rPr>
              <w:t xml:space="preserve"> del pico principal del testigo en el cromatograma obtenido.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n-US"/>
              </w:rPr>
            </w:pPr>
            <w:r w:rsidRPr="00C31AEF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30, Técnica de valoración.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Rotación específica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Entre + 149º y + 158º.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Polarimetría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 xml:space="preserve">USP 30 (781 S) 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pH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3,0 – 5,5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Con pHmetro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(791)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Agua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DA6AC4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4.0 – 8.0 %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Karl- Fischer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30, Método I (921)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Compuestos relacionados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 xml:space="preserve">≤ 1,0 % de cualquier sustancia individual y ≤ 5,0 % </w:t>
            </w:r>
            <w:r w:rsidR="00DF4AED">
              <w:rPr>
                <w:rFonts w:ascii="Arial" w:hAnsi="Arial" w:cs="Arial"/>
                <w:lang w:val="es-AR"/>
              </w:rPr>
              <w:t xml:space="preserve">de </w:t>
            </w:r>
            <w:r w:rsidRPr="00C31AEF">
              <w:rPr>
                <w:rFonts w:ascii="Arial" w:hAnsi="Arial" w:cs="Arial"/>
                <w:lang w:val="es-AR"/>
              </w:rPr>
              <w:t>la suma de todas las sustancias encontradas.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</w:t>
            </w:r>
          </w:p>
        </w:tc>
      </w:tr>
      <w:tr w:rsidR="006E79D0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6E79D0" w:rsidRPr="00E006C1" w:rsidRDefault="006E79D0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Dimetilanilina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6E79D0" w:rsidRPr="00C31AEF" w:rsidRDefault="00DA6AC4" w:rsidP="005A5A24">
            <w:pPr>
              <w:keepNext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≤ 0.002 %</w:t>
            </w:r>
          </w:p>
        </w:tc>
        <w:tc>
          <w:tcPr>
            <w:tcW w:w="1008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Cromatografía gaseosa</w:t>
            </w:r>
          </w:p>
        </w:tc>
        <w:tc>
          <w:tcPr>
            <w:tcW w:w="1051" w:type="pct"/>
          </w:tcPr>
          <w:p w:rsidR="006E79D0" w:rsidRPr="00C31AEF" w:rsidRDefault="006E79D0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 (223)</w:t>
            </w:r>
          </w:p>
        </w:tc>
      </w:tr>
      <w:tr w:rsidR="00C31AEF" w:rsidRPr="009C31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C31AEF" w:rsidRPr="00E006C1" w:rsidRDefault="00C31AEF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  <w:r w:rsidRPr="00E006C1">
              <w:rPr>
                <w:rFonts w:ascii="Arial" w:hAnsi="Arial" w:cs="Arial"/>
                <w:b/>
                <w:lang w:val="es-AR"/>
              </w:rPr>
              <w:t>Valoración</w:t>
            </w:r>
          </w:p>
          <w:p w:rsidR="00C31AEF" w:rsidRPr="00E006C1" w:rsidRDefault="00C31AEF" w:rsidP="005A5A24">
            <w:pPr>
              <w:keepNext/>
              <w:rPr>
                <w:rFonts w:ascii="Arial" w:hAnsi="Arial" w:cs="Arial"/>
                <w:b/>
                <w:lang w:val="es-AR"/>
              </w:rPr>
            </w:pP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C31AEF" w:rsidRPr="00C31AEF" w:rsidRDefault="00C31AEF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 xml:space="preserve"> Potencia 950- 1030 </w:t>
            </w:r>
            <w:r>
              <w:rPr>
                <w:rFonts w:ascii="Arial" w:hAnsi="Arial" w:cs="Arial"/>
                <w:lang w:val="es-AR"/>
              </w:rPr>
              <w:t>µ</w:t>
            </w:r>
            <w:r w:rsidRPr="00C31AEF">
              <w:rPr>
                <w:rFonts w:ascii="Arial" w:hAnsi="Arial" w:cs="Arial"/>
                <w:lang w:val="es-AR"/>
              </w:rPr>
              <w:t xml:space="preserve">g  de </w:t>
            </w:r>
            <w:r>
              <w:rPr>
                <w:rFonts w:ascii="Arial" w:hAnsi="Arial" w:cs="Arial"/>
                <w:lang w:val="es-AR"/>
              </w:rPr>
              <w:t>Cefalexina</w:t>
            </w:r>
            <w:r w:rsidRPr="00C31AEF">
              <w:rPr>
                <w:rFonts w:ascii="Arial" w:hAnsi="Arial" w:cs="Arial"/>
                <w:lang w:val="es-AR"/>
              </w:rPr>
              <w:t xml:space="preserve"> por mg, calculado con respecto a la sustancia anhidra.</w:t>
            </w:r>
          </w:p>
        </w:tc>
        <w:tc>
          <w:tcPr>
            <w:tcW w:w="1008" w:type="pct"/>
          </w:tcPr>
          <w:p w:rsidR="00C31AEF" w:rsidRPr="00C31AEF" w:rsidRDefault="00C31AEF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HPLC</w:t>
            </w:r>
          </w:p>
        </w:tc>
        <w:tc>
          <w:tcPr>
            <w:tcW w:w="1051" w:type="pct"/>
          </w:tcPr>
          <w:p w:rsidR="00C31AEF" w:rsidRPr="00C31AEF" w:rsidRDefault="00C31AEF" w:rsidP="005A5A24">
            <w:pPr>
              <w:keepNext/>
              <w:rPr>
                <w:rFonts w:ascii="Arial" w:hAnsi="Arial" w:cs="Arial"/>
                <w:lang w:val="es-AR"/>
              </w:rPr>
            </w:pPr>
            <w:r w:rsidRPr="00C31AEF">
              <w:rPr>
                <w:rFonts w:ascii="Arial" w:hAnsi="Arial" w:cs="Arial"/>
                <w:lang w:val="es-AR"/>
              </w:rPr>
              <w:t>USP 30</w:t>
            </w:r>
          </w:p>
        </w:tc>
      </w:tr>
    </w:tbl>
    <w:p w:rsidR="009C3169" w:rsidRDefault="009C3169" w:rsidP="005A5A24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5A5A24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025EE7" w:rsidRDefault="00025EE7" w:rsidP="005A5A24">
      <w:pPr>
        <w:keepNext/>
        <w:keepLines/>
        <w:widowControl w:val="0"/>
      </w:pPr>
    </w:p>
    <w:p w:rsidR="00F33A4C" w:rsidRPr="00F33A4C" w:rsidRDefault="009C3169" w:rsidP="005A5A2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Cátedra de Farmacognosia, Faculta</w:t>
      </w:r>
      <w:r w:rsidR="00F33A4C">
        <w:rPr>
          <w:rFonts w:ascii="Arial" w:hAnsi="Arial" w:cs="Arial"/>
          <w:bCs/>
          <w:kern w:val="32"/>
        </w:rPr>
        <w:t>d de Farmacia y Bioquímica, UBA</w:t>
      </w:r>
    </w:p>
    <w:p w:rsidR="00F33A4C" w:rsidRPr="00F33A4C" w:rsidRDefault="00F33A4C" w:rsidP="005A5A2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  <w:bCs/>
          <w:kern w:val="32"/>
        </w:rPr>
        <w:t>Laboratorio LARO SRL</w:t>
      </w:r>
    </w:p>
    <w:p w:rsidR="00F33A4C" w:rsidRPr="00F33A4C" w:rsidRDefault="009C3169" w:rsidP="005A5A2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Microquim</w:t>
      </w:r>
      <w:r w:rsidR="00F33A4C">
        <w:rPr>
          <w:rFonts w:ascii="Arial" w:hAnsi="Arial" w:cs="Arial"/>
          <w:bCs/>
          <w:kern w:val="32"/>
        </w:rPr>
        <w:t>/ Microfar</w:t>
      </w:r>
    </w:p>
    <w:p w:rsidR="00E25F2B" w:rsidRPr="00F33A4C" w:rsidRDefault="009C3169" w:rsidP="005A5A24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9C3169">
        <w:rPr>
          <w:rFonts w:ascii="Arial" w:hAnsi="Arial" w:cs="Arial"/>
          <w:bCs/>
          <w:kern w:val="32"/>
        </w:rPr>
        <w:t>Laboratorio de Control.</w:t>
      </w:r>
    </w:p>
    <w:p w:rsidR="00F33A4C" w:rsidRDefault="00F33A4C" w:rsidP="005A5A24">
      <w:pPr>
        <w:keepNext/>
        <w:keepLines/>
        <w:widowControl w:val="0"/>
        <w:rPr>
          <w:rFonts w:ascii="Arial" w:hAnsi="Arial" w:cs="Arial"/>
          <w:bCs/>
          <w:kern w:val="32"/>
        </w:rPr>
      </w:pPr>
    </w:p>
    <w:p w:rsidR="00F33A4C" w:rsidRDefault="007E1FC6" w:rsidP="005A5A24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Proveedores autorizados</w:t>
      </w:r>
      <w:r w:rsidR="00F33A4C" w:rsidRPr="001B6977">
        <w:rPr>
          <w:caps/>
          <w:sz w:val="24"/>
          <w:szCs w:val="24"/>
        </w:rPr>
        <w:t xml:space="preserve">: </w:t>
      </w:r>
    </w:p>
    <w:p w:rsidR="00F33A4C" w:rsidRPr="00025EE7" w:rsidRDefault="00F33A4C" w:rsidP="005A5A24">
      <w:pPr>
        <w:keepNext/>
        <w:keepLines/>
        <w:widowControl w:val="0"/>
      </w:pP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D</w:t>
      </w:r>
      <w:r>
        <w:rPr>
          <w:rFonts w:ascii="Arial" w:hAnsi="Arial" w:cs="Arial"/>
          <w:bCs/>
          <w:kern w:val="32"/>
        </w:rPr>
        <w:t>roguería Saporiti S.A.C.I.F.I.A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Unifarma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Droguería Libertad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Rumapel SRL</w:t>
      </w:r>
      <w:r w:rsidR="0084270E">
        <w:rPr>
          <w:rFonts w:ascii="Arial" w:hAnsi="Arial" w:cs="Arial"/>
          <w:bCs/>
          <w:kern w:val="32"/>
        </w:rPr>
        <w:t xml:space="preserve"> 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lastRenderedPageBreak/>
        <w:t>Anedra S.A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>
        <w:rPr>
          <w:rFonts w:ascii="Arial" w:hAnsi="Arial" w:cs="Arial"/>
          <w:bCs/>
          <w:kern w:val="32"/>
        </w:rPr>
        <w:t>Romikin S.A.</w:t>
      </w:r>
    </w:p>
    <w:p w:rsid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Hugo Gil &amp; asociados SRL</w:t>
      </w:r>
    </w:p>
    <w:p w:rsidR="00F33A4C" w:rsidRPr="00F33A4C" w:rsidRDefault="00F33A4C" w:rsidP="005A5A24">
      <w:pPr>
        <w:keepNext/>
        <w:keepLines/>
        <w:widowControl w:val="0"/>
        <w:numPr>
          <w:ilvl w:val="0"/>
          <w:numId w:val="11"/>
        </w:numPr>
        <w:rPr>
          <w:rFonts w:ascii="Arial" w:hAnsi="Arial" w:cs="Arial"/>
          <w:bCs/>
          <w:kern w:val="32"/>
        </w:rPr>
      </w:pPr>
      <w:r w:rsidRPr="00F33A4C">
        <w:rPr>
          <w:rFonts w:ascii="Arial" w:hAnsi="Arial" w:cs="Arial"/>
          <w:bCs/>
          <w:kern w:val="32"/>
        </w:rPr>
        <w:t>Alvarez Hnos S.A. e I.</w:t>
      </w:r>
    </w:p>
    <w:sectPr w:rsidR="00F33A4C" w:rsidRPr="00F33A4C" w:rsidSect="00407F83">
      <w:headerReference w:type="default" r:id="rId7"/>
      <w:footerReference w:type="default" r:id="rId8"/>
      <w:pgSz w:w="11906" w:h="16838" w:code="9"/>
      <w:pgMar w:top="1418" w:right="851" w:bottom="1418" w:left="1134" w:header="709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3ED" w:rsidRDefault="000743ED" w:rsidP="00BE1875">
      <w:pPr>
        <w:pStyle w:val="Encabezado"/>
      </w:pPr>
      <w:r>
        <w:separator/>
      </w:r>
    </w:p>
  </w:endnote>
  <w:endnote w:type="continuationSeparator" w:id="0">
    <w:p w:rsidR="000743ED" w:rsidRDefault="000743ED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DA1212">
      <w:tc>
        <w:tcPr>
          <w:tcW w:w="2268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</w:p>
      </w:tc>
    </w:tr>
    <w:tr w:rsidR="00DA1212">
      <w:trPr>
        <w:trHeight w:val="1489"/>
      </w:trPr>
      <w:tc>
        <w:tcPr>
          <w:tcW w:w="2268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DA1212" w:rsidRPr="00A708F6" w:rsidRDefault="00DA121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DA1212" w:rsidRDefault="00DA121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3ED" w:rsidRDefault="000743ED" w:rsidP="00BE1875">
      <w:pPr>
        <w:pStyle w:val="Encabezado"/>
      </w:pPr>
      <w:r>
        <w:separator/>
      </w:r>
    </w:p>
  </w:footnote>
  <w:footnote w:type="continuationSeparator" w:id="0">
    <w:p w:rsidR="000743ED" w:rsidRDefault="000743ED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212" w:rsidRDefault="00DA121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2"/>
      <w:gridCol w:w="4242"/>
      <w:gridCol w:w="3237"/>
    </w:tblGrid>
    <w:tr w:rsidR="00DA1212">
      <w:trPr>
        <w:trHeight w:val="620"/>
      </w:trPr>
      <w:tc>
        <w:tcPr>
          <w:tcW w:w="2448" w:type="dxa"/>
          <w:vMerge w:val="restart"/>
        </w:tcPr>
        <w:p w:rsidR="00DA1212" w:rsidRPr="00F43ADE" w:rsidRDefault="00B04670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1" name="Imagen 11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A121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DA1212" w:rsidRDefault="00DA121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Especificaciones de Materia Prima</w:t>
          </w:r>
        </w:p>
        <w:p w:rsidR="00DA1212" w:rsidRDefault="00DA121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 </w:t>
          </w:r>
        </w:p>
        <w:p w:rsidR="00DA1212" w:rsidRPr="005D6123" w:rsidRDefault="00DA1212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lang w:val="es-AR"/>
            </w:rPr>
            <w:t>CEFALEXINA POLVO</w:t>
          </w:r>
        </w:p>
      </w:tc>
      <w:tc>
        <w:tcPr>
          <w:tcW w:w="3293" w:type="dxa"/>
        </w:tcPr>
        <w:p w:rsidR="00DA1212" w:rsidRDefault="00DA121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DA1212" w:rsidRPr="001F35A2" w:rsidRDefault="00DA121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1F35A2">
            <w:rPr>
              <w:rFonts w:ascii="Arial" w:hAnsi="Arial" w:cs="Arial"/>
              <w:b/>
            </w:rPr>
            <w:t>MP0</w:t>
          </w:r>
          <w:r>
            <w:rPr>
              <w:rFonts w:ascii="Arial" w:hAnsi="Arial" w:cs="Arial"/>
              <w:b/>
            </w:rPr>
            <w:t>17</w:t>
          </w:r>
          <w:r w:rsidRPr="001F35A2">
            <w:rPr>
              <w:rFonts w:ascii="Arial" w:hAnsi="Arial" w:cs="Arial"/>
              <w:b/>
            </w:rPr>
            <w:t>-00</w:t>
          </w:r>
        </w:p>
      </w:tc>
    </w:tr>
    <w:tr w:rsidR="00DA1212">
      <w:trPr>
        <w:trHeight w:val="620"/>
      </w:trPr>
      <w:tc>
        <w:tcPr>
          <w:tcW w:w="2448" w:type="dxa"/>
          <w:vMerge/>
        </w:tcPr>
        <w:p w:rsidR="00DA1212" w:rsidRPr="00F43ADE" w:rsidRDefault="00DA121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A1212" w:rsidRPr="00F43ADE" w:rsidRDefault="00DA121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DA1212" w:rsidRPr="00D30DAF" w:rsidRDefault="00DA1212" w:rsidP="00BC0E85">
          <w:pPr>
            <w:pStyle w:val="Encabezado"/>
            <w:jc w:val="center"/>
            <w:rPr>
              <w:rFonts w:ascii="Arial" w:hAnsi="Arial" w:cs="Arial"/>
              <w:b/>
            </w:rPr>
          </w:pPr>
          <w:r w:rsidRPr="00D30DAF">
            <w:rPr>
              <w:rFonts w:ascii="Arial" w:hAnsi="Arial" w:cs="Arial"/>
              <w:b/>
            </w:rPr>
            <w:t>Tipo: Princip</w:t>
          </w:r>
          <w:r>
            <w:rPr>
              <w:rFonts w:ascii="Arial" w:hAnsi="Arial" w:cs="Arial"/>
              <w:b/>
            </w:rPr>
            <w:t>i</w:t>
          </w:r>
          <w:r w:rsidRPr="00D30DAF">
            <w:rPr>
              <w:rFonts w:ascii="Arial" w:hAnsi="Arial" w:cs="Arial"/>
              <w:b/>
            </w:rPr>
            <w:t xml:space="preserve">o Activo </w:t>
          </w:r>
        </w:p>
      </w:tc>
    </w:tr>
    <w:tr w:rsidR="00DA1212">
      <w:trPr>
        <w:trHeight w:val="620"/>
      </w:trPr>
      <w:tc>
        <w:tcPr>
          <w:tcW w:w="2448" w:type="dxa"/>
          <w:vMerge/>
        </w:tcPr>
        <w:p w:rsidR="00DA1212" w:rsidRPr="00F43ADE" w:rsidRDefault="00DA121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DA1212" w:rsidRPr="00F43ADE" w:rsidRDefault="00DA121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DA1212" w:rsidRPr="005C7662" w:rsidRDefault="00DA1212" w:rsidP="005C7662">
          <w:pPr>
            <w:pStyle w:val="Encabezado"/>
            <w:rPr>
              <w:rFonts w:ascii="Arial" w:hAnsi="Arial" w:cs="Arial"/>
              <w:color w:val="FF0000"/>
            </w:rPr>
          </w:pPr>
          <w:r w:rsidRPr="001F35A2">
            <w:rPr>
              <w:rFonts w:ascii="Arial" w:hAnsi="Arial" w:cs="Arial"/>
              <w:b/>
            </w:rPr>
            <w:t>Acción Terapéutica:</w:t>
          </w:r>
          <w:r w:rsidRPr="00D30DAF">
            <w:rPr>
              <w:rFonts w:ascii="Arial" w:hAnsi="Arial" w:cs="Arial"/>
              <w:b/>
              <w:color w:val="FF0000"/>
            </w:rPr>
            <w:t xml:space="preserve"> </w:t>
          </w:r>
          <w:r>
            <w:rPr>
              <w:rFonts w:ascii="Arial" w:hAnsi="Arial" w:cs="Arial"/>
            </w:rPr>
            <w:t>Antibiótico Betalactámico</w:t>
          </w:r>
        </w:p>
      </w:tc>
    </w:tr>
    <w:tr w:rsidR="00DA1212" w:rsidRPr="00F43ADE">
      <w:trPr>
        <w:trHeight w:val="541"/>
      </w:trPr>
      <w:tc>
        <w:tcPr>
          <w:tcW w:w="2448" w:type="dxa"/>
          <w:vMerge/>
        </w:tcPr>
        <w:p w:rsidR="00DA1212" w:rsidRPr="00F43ADE" w:rsidRDefault="00DA121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DA1212" w:rsidRPr="00F43ADE" w:rsidRDefault="00DA121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B0467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B04670">
            <w:rPr>
              <w:rFonts w:ascii="Arial" w:hAnsi="Arial" w:cs="Arial"/>
              <w:noProof/>
            </w:rPr>
            <w:t>3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DA1212" w:rsidRDefault="00DA1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438"/>
    <w:multiLevelType w:val="hybridMultilevel"/>
    <w:tmpl w:val="72B4C0A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A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9184E"/>
    <w:multiLevelType w:val="hybridMultilevel"/>
    <w:tmpl w:val="1C149886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4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F6FD3"/>
    <w:multiLevelType w:val="hybridMultilevel"/>
    <w:tmpl w:val="64D2282C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6318ECE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D85DDE"/>
    <w:multiLevelType w:val="hybridMultilevel"/>
    <w:tmpl w:val="9100241E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43BD5"/>
    <w:multiLevelType w:val="hybridMultilevel"/>
    <w:tmpl w:val="2E664EF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auto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696D89"/>
    <w:multiLevelType w:val="hybridMultilevel"/>
    <w:tmpl w:val="E682C342"/>
    <w:lvl w:ilvl="0" w:tplc="6318EC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331D13D8"/>
    <w:multiLevelType w:val="hybridMultilevel"/>
    <w:tmpl w:val="F62EE2CC"/>
    <w:lvl w:ilvl="0" w:tplc="0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E27D6"/>
    <w:multiLevelType w:val="hybridMultilevel"/>
    <w:tmpl w:val="CF06A1C2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8653726"/>
    <w:multiLevelType w:val="hybridMultilevel"/>
    <w:tmpl w:val="D2408CA6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460A2C"/>
    <w:multiLevelType w:val="hybridMultilevel"/>
    <w:tmpl w:val="DFB2371E"/>
    <w:lvl w:ilvl="0" w:tplc="F4CCF4C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2A5C29"/>
    <w:multiLevelType w:val="hybridMultilevel"/>
    <w:tmpl w:val="C130C084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32DDA"/>
    <w:multiLevelType w:val="hybridMultilevel"/>
    <w:tmpl w:val="6D5490E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7"/>
  </w:num>
  <w:num w:numId="8">
    <w:abstractNumId w:val="10"/>
  </w:num>
  <w:num w:numId="9">
    <w:abstractNumId w:val="0"/>
  </w:num>
  <w:num w:numId="10">
    <w:abstractNumId w:val="13"/>
  </w:num>
  <w:num w:numId="11">
    <w:abstractNumId w:val="16"/>
  </w:num>
  <w:num w:numId="12">
    <w:abstractNumId w:val="15"/>
  </w:num>
  <w:num w:numId="13">
    <w:abstractNumId w:val="5"/>
  </w:num>
  <w:num w:numId="14">
    <w:abstractNumId w:val="8"/>
  </w:num>
  <w:num w:numId="15">
    <w:abstractNumId w:val="1"/>
  </w:num>
  <w:num w:numId="16">
    <w:abstractNumId w:val="18"/>
  </w:num>
  <w:num w:numId="17">
    <w:abstractNumId w:val="6"/>
  </w:num>
  <w:num w:numId="18">
    <w:abstractNumId w:val="17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154C9"/>
    <w:rsid w:val="00025EE7"/>
    <w:rsid w:val="000501F5"/>
    <w:rsid w:val="000529B0"/>
    <w:rsid w:val="0005661A"/>
    <w:rsid w:val="000743ED"/>
    <w:rsid w:val="00080362"/>
    <w:rsid w:val="00081206"/>
    <w:rsid w:val="000A69DD"/>
    <w:rsid w:val="000B18E8"/>
    <w:rsid w:val="000D6C6F"/>
    <w:rsid w:val="000E60D0"/>
    <w:rsid w:val="00114A1B"/>
    <w:rsid w:val="00116054"/>
    <w:rsid w:val="0012000C"/>
    <w:rsid w:val="001500C3"/>
    <w:rsid w:val="00151C97"/>
    <w:rsid w:val="00162B5C"/>
    <w:rsid w:val="001A0AD8"/>
    <w:rsid w:val="001A210E"/>
    <w:rsid w:val="001B6977"/>
    <w:rsid w:val="001C0EB9"/>
    <w:rsid w:val="001C27D4"/>
    <w:rsid w:val="001F27B9"/>
    <w:rsid w:val="001F35A2"/>
    <w:rsid w:val="001F6804"/>
    <w:rsid w:val="00201B0E"/>
    <w:rsid w:val="002224A6"/>
    <w:rsid w:val="00251E6B"/>
    <w:rsid w:val="002616D7"/>
    <w:rsid w:val="00261F32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16663"/>
    <w:rsid w:val="00325392"/>
    <w:rsid w:val="003418B7"/>
    <w:rsid w:val="003477EB"/>
    <w:rsid w:val="00347BE4"/>
    <w:rsid w:val="003563E8"/>
    <w:rsid w:val="003A5101"/>
    <w:rsid w:val="003C3899"/>
    <w:rsid w:val="003D13E7"/>
    <w:rsid w:val="003D4CB2"/>
    <w:rsid w:val="003E08DC"/>
    <w:rsid w:val="003E326B"/>
    <w:rsid w:val="003E6836"/>
    <w:rsid w:val="00407F83"/>
    <w:rsid w:val="0041050C"/>
    <w:rsid w:val="00434B3A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33FB3"/>
    <w:rsid w:val="0055146E"/>
    <w:rsid w:val="005517E0"/>
    <w:rsid w:val="00555290"/>
    <w:rsid w:val="005571AA"/>
    <w:rsid w:val="00565178"/>
    <w:rsid w:val="005807F4"/>
    <w:rsid w:val="00581EAB"/>
    <w:rsid w:val="005A4D04"/>
    <w:rsid w:val="005A5A24"/>
    <w:rsid w:val="005A61F1"/>
    <w:rsid w:val="005B2279"/>
    <w:rsid w:val="005B2D4E"/>
    <w:rsid w:val="005C7662"/>
    <w:rsid w:val="005D3FBE"/>
    <w:rsid w:val="005D5BC4"/>
    <w:rsid w:val="005D6123"/>
    <w:rsid w:val="005F71AF"/>
    <w:rsid w:val="0061097F"/>
    <w:rsid w:val="00640807"/>
    <w:rsid w:val="00643A36"/>
    <w:rsid w:val="00644E60"/>
    <w:rsid w:val="00665801"/>
    <w:rsid w:val="00666FC3"/>
    <w:rsid w:val="00676BB5"/>
    <w:rsid w:val="006948CA"/>
    <w:rsid w:val="006B2BC7"/>
    <w:rsid w:val="006E79D0"/>
    <w:rsid w:val="00710B8D"/>
    <w:rsid w:val="007177F3"/>
    <w:rsid w:val="00720C7C"/>
    <w:rsid w:val="00721041"/>
    <w:rsid w:val="007465C6"/>
    <w:rsid w:val="00750DD1"/>
    <w:rsid w:val="00757A3C"/>
    <w:rsid w:val="007656C7"/>
    <w:rsid w:val="00767BBA"/>
    <w:rsid w:val="00781597"/>
    <w:rsid w:val="007A530E"/>
    <w:rsid w:val="007B6413"/>
    <w:rsid w:val="007C053E"/>
    <w:rsid w:val="007C126F"/>
    <w:rsid w:val="007C264E"/>
    <w:rsid w:val="007D020C"/>
    <w:rsid w:val="007D07F4"/>
    <w:rsid w:val="007D2F31"/>
    <w:rsid w:val="007D5A45"/>
    <w:rsid w:val="007D7BAF"/>
    <w:rsid w:val="007E0055"/>
    <w:rsid w:val="007E1FC6"/>
    <w:rsid w:val="007E252F"/>
    <w:rsid w:val="007E79C6"/>
    <w:rsid w:val="00815A59"/>
    <w:rsid w:val="008327B6"/>
    <w:rsid w:val="00841529"/>
    <w:rsid w:val="0084270E"/>
    <w:rsid w:val="00842BB3"/>
    <w:rsid w:val="0084552A"/>
    <w:rsid w:val="0085507F"/>
    <w:rsid w:val="008631A7"/>
    <w:rsid w:val="00872DB9"/>
    <w:rsid w:val="00887A74"/>
    <w:rsid w:val="00894899"/>
    <w:rsid w:val="0089640E"/>
    <w:rsid w:val="00896738"/>
    <w:rsid w:val="00896A2E"/>
    <w:rsid w:val="008B2002"/>
    <w:rsid w:val="008B22C3"/>
    <w:rsid w:val="008D160A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245E4"/>
    <w:rsid w:val="009318E0"/>
    <w:rsid w:val="00936E34"/>
    <w:rsid w:val="00944317"/>
    <w:rsid w:val="00984142"/>
    <w:rsid w:val="00991541"/>
    <w:rsid w:val="00996867"/>
    <w:rsid w:val="00997914"/>
    <w:rsid w:val="009A3D4E"/>
    <w:rsid w:val="009A4C72"/>
    <w:rsid w:val="009A6CEB"/>
    <w:rsid w:val="009B2936"/>
    <w:rsid w:val="009C3169"/>
    <w:rsid w:val="009C645F"/>
    <w:rsid w:val="009C745D"/>
    <w:rsid w:val="009D3019"/>
    <w:rsid w:val="009E17AE"/>
    <w:rsid w:val="009E52BE"/>
    <w:rsid w:val="009F3DE3"/>
    <w:rsid w:val="00A04DE7"/>
    <w:rsid w:val="00A13181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05AF"/>
    <w:rsid w:val="00AC786D"/>
    <w:rsid w:val="00AE0D3C"/>
    <w:rsid w:val="00AF5548"/>
    <w:rsid w:val="00B04670"/>
    <w:rsid w:val="00B04758"/>
    <w:rsid w:val="00B10860"/>
    <w:rsid w:val="00B13B0F"/>
    <w:rsid w:val="00B35D32"/>
    <w:rsid w:val="00B50699"/>
    <w:rsid w:val="00B566D0"/>
    <w:rsid w:val="00B60F5D"/>
    <w:rsid w:val="00B744F3"/>
    <w:rsid w:val="00BA07C2"/>
    <w:rsid w:val="00BA3A33"/>
    <w:rsid w:val="00BB5B80"/>
    <w:rsid w:val="00BC0E85"/>
    <w:rsid w:val="00BC3EF0"/>
    <w:rsid w:val="00BE0BBA"/>
    <w:rsid w:val="00BE1875"/>
    <w:rsid w:val="00BF494B"/>
    <w:rsid w:val="00BF602D"/>
    <w:rsid w:val="00C007FC"/>
    <w:rsid w:val="00C013C3"/>
    <w:rsid w:val="00C07A9A"/>
    <w:rsid w:val="00C14F59"/>
    <w:rsid w:val="00C31AEF"/>
    <w:rsid w:val="00C372FC"/>
    <w:rsid w:val="00C379EA"/>
    <w:rsid w:val="00C42C44"/>
    <w:rsid w:val="00C47388"/>
    <w:rsid w:val="00C51C15"/>
    <w:rsid w:val="00C77235"/>
    <w:rsid w:val="00C77C86"/>
    <w:rsid w:val="00C915C1"/>
    <w:rsid w:val="00CA09AF"/>
    <w:rsid w:val="00CA21C2"/>
    <w:rsid w:val="00CB2F2A"/>
    <w:rsid w:val="00CC062E"/>
    <w:rsid w:val="00CF1CD7"/>
    <w:rsid w:val="00CF3462"/>
    <w:rsid w:val="00CF43BC"/>
    <w:rsid w:val="00D05D91"/>
    <w:rsid w:val="00D22C21"/>
    <w:rsid w:val="00D26449"/>
    <w:rsid w:val="00D30DAF"/>
    <w:rsid w:val="00D446BA"/>
    <w:rsid w:val="00D44BEC"/>
    <w:rsid w:val="00D52330"/>
    <w:rsid w:val="00D73137"/>
    <w:rsid w:val="00D760EE"/>
    <w:rsid w:val="00D8797E"/>
    <w:rsid w:val="00D930F0"/>
    <w:rsid w:val="00DA1212"/>
    <w:rsid w:val="00DA6AC4"/>
    <w:rsid w:val="00DB285C"/>
    <w:rsid w:val="00DB29B5"/>
    <w:rsid w:val="00DC23DF"/>
    <w:rsid w:val="00DC2E0A"/>
    <w:rsid w:val="00DE66D5"/>
    <w:rsid w:val="00DF462F"/>
    <w:rsid w:val="00DF4AED"/>
    <w:rsid w:val="00DF68CC"/>
    <w:rsid w:val="00E006C1"/>
    <w:rsid w:val="00E01537"/>
    <w:rsid w:val="00E25F2B"/>
    <w:rsid w:val="00E455D6"/>
    <w:rsid w:val="00E54441"/>
    <w:rsid w:val="00E924F9"/>
    <w:rsid w:val="00E96E48"/>
    <w:rsid w:val="00EB676E"/>
    <w:rsid w:val="00EE3E55"/>
    <w:rsid w:val="00EE6A92"/>
    <w:rsid w:val="00EF0566"/>
    <w:rsid w:val="00EF31A3"/>
    <w:rsid w:val="00EF7F35"/>
    <w:rsid w:val="00F017D9"/>
    <w:rsid w:val="00F03B04"/>
    <w:rsid w:val="00F063D0"/>
    <w:rsid w:val="00F227E4"/>
    <w:rsid w:val="00F33A4C"/>
    <w:rsid w:val="00F367B3"/>
    <w:rsid w:val="00F40BB3"/>
    <w:rsid w:val="00F430BE"/>
    <w:rsid w:val="00F43ADE"/>
    <w:rsid w:val="00F448AF"/>
    <w:rsid w:val="00F44978"/>
    <w:rsid w:val="00F45720"/>
    <w:rsid w:val="00F60E52"/>
    <w:rsid w:val="00F6600F"/>
    <w:rsid w:val="00F6711F"/>
    <w:rsid w:val="00F7778E"/>
    <w:rsid w:val="00F80E70"/>
    <w:rsid w:val="00F8451A"/>
    <w:rsid w:val="00F857EC"/>
    <w:rsid w:val="00F92AA5"/>
    <w:rsid w:val="00F93BAA"/>
    <w:rsid w:val="00FB0F00"/>
    <w:rsid w:val="00FB6C36"/>
    <w:rsid w:val="00FB743A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2371276-37DA-4000-A870-74A20F16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2008-05-23T12:06:00Z</cp:lastPrinted>
  <dcterms:created xsi:type="dcterms:W3CDTF">2026-07-16T19:48:00Z</dcterms:created>
  <dcterms:modified xsi:type="dcterms:W3CDTF">2026-07-16T19:48:00Z</dcterms:modified>
</cp:coreProperties>
</file>