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CA4D23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CA4D23">
      <w:pPr>
        <w:keepNext/>
      </w:pPr>
    </w:p>
    <w:p w:rsidR="00934223" w:rsidRPr="00934223" w:rsidRDefault="00934223" w:rsidP="00CA4D23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Sinonimia:</w:t>
      </w:r>
      <w:r w:rsidRPr="00934223">
        <w:rPr>
          <w:rFonts w:ascii="Arial" w:hAnsi="Arial" w:cs="Arial"/>
          <w:lang w:val="es-AR"/>
        </w:rPr>
        <w:t xml:space="preserve"> </w:t>
      </w:r>
      <w:r w:rsidR="00D603C6">
        <w:rPr>
          <w:rFonts w:ascii="Arial" w:hAnsi="Arial" w:cs="Arial"/>
          <w:lang w:val="es-AR"/>
        </w:rPr>
        <w:t>N/A</w:t>
      </w:r>
    </w:p>
    <w:p w:rsidR="00CA4D23" w:rsidRPr="005B2B75" w:rsidRDefault="00CA4D23" w:rsidP="00CA4D23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CA4D23">
        <w:rPr>
          <w:rFonts w:ascii="Arial" w:hAnsi="Arial" w:cs="Arial"/>
          <w:u w:val="single"/>
          <w:lang w:val="es-AR"/>
        </w:rPr>
        <w:t>CAS N°:</w:t>
      </w:r>
      <w:r w:rsidRPr="00CA4D23">
        <w:rPr>
          <w:rFonts w:ascii="Arial" w:hAnsi="Arial" w:cs="Arial"/>
          <w:lang w:val="es-AR"/>
        </w:rPr>
        <w:t xml:space="preserve"> [439-14-5]</w:t>
      </w:r>
    </w:p>
    <w:p w:rsidR="00CA4D23" w:rsidRPr="005B2B75" w:rsidRDefault="00CA4D23" w:rsidP="00CA4D23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CA4D23">
        <w:rPr>
          <w:rFonts w:ascii="Arial" w:hAnsi="Arial" w:cs="Arial"/>
          <w:u w:val="single"/>
          <w:lang w:val="es-AR"/>
        </w:rPr>
        <w:t>Nombre químico:</w:t>
      </w:r>
      <w:r w:rsidRPr="00CA4D23">
        <w:rPr>
          <w:rFonts w:ascii="Arial" w:hAnsi="Arial" w:cs="Arial"/>
          <w:lang w:val="es-AR"/>
        </w:rPr>
        <w:t xml:space="preserve"> </w:t>
      </w:r>
    </w:p>
    <w:p w:rsidR="00CA4D23" w:rsidRPr="00995101" w:rsidRDefault="00CA4D23" w:rsidP="00995101">
      <w:pPr>
        <w:keepNext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995101">
        <w:rPr>
          <w:rFonts w:ascii="Arial" w:hAnsi="Arial" w:cs="Arial"/>
          <w:lang w:val="es-AR"/>
        </w:rPr>
        <w:t>Según USP 30: 7-cloro-1,3-dih</w:t>
      </w:r>
      <w:r w:rsidR="00592980">
        <w:rPr>
          <w:rFonts w:ascii="Arial" w:hAnsi="Arial" w:cs="Arial"/>
          <w:lang w:val="es-AR"/>
        </w:rPr>
        <w:t>idro-1-metil-5-fenil-2H-1,4-ben</w:t>
      </w:r>
      <w:r w:rsidRPr="00995101">
        <w:rPr>
          <w:rFonts w:ascii="Arial" w:hAnsi="Arial" w:cs="Arial"/>
          <w:lang w:val="es-AR"/>
        </w:rPr>
        <w:t xml:space="preserve">zodiazepin-2-ona </w:t>
      </w:r>
    </w:p>
    <w:p w:rsidR="00CA4D23" w:rsidRPr="00995101" w:rsidRDefault="00CA4D23" w:rsidP="00995101">
      <w:pPr>
        <w:keepNext/>
        <w:tabs>
          <w:tab w:val="num" w:pos="1080"/>
        </w:tabs>
        <w:ind w:left="1080" w:hanging="360"/>
        <w:jc w:val="both"/>
        <w:rPr>
          <w:rFonts w:ascii="Arial" w:hAnsi="Arial" w:cs="Arial"/>
          <w:lang w:val="es-AR"/>
        </w:rPr>
      </w:pPr>
    </w:p>
    <w:p w:rsidR="00CA4D23" w:rsidRPr="00592980" w:rsidRDefault="00592980" w:rsidP="00995101">
      <w:pPr>
        <w:keepNext/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Según Eur.Ph.</w:t>
      </w:r>
      <w:r w:rsidR="00CA4D23" w:rsidRPr="00592980">
        <w:rPr>
          <w:rFonts w:ascii="Arial" w:hAnsi="Arial" w:cs="Arial"/>
          <w:lang w:val="es-AR"/>
        </w:rPr>
        <w:t>4</w:t>
      </w:r>
      <w:r w:rsidR="00CA4D23" w:rsidRPr="00592980">
        <w:rPr>
          <w:rFonts w:ascii="Arial" w:hAnsi="Arial" w:cs="Arial"/>
          <w:sz w:val="20"/>
          <w:szCs w:val="20"/>
          <w:lang w:val="es-AR"/>
        </w:rPr>
        <w:t xml:space="preserve">ª </w:t>
      </w:r>
      <w:r w:rsidRPr="00592980">
        <w:rPr>
          <w:rFonts w:ascii="Arial" w:hAnsi="Arial" w:cs="Arial"/>
          <w:lang w:val="es-AR"/>
        </w:rPr>
        <w:t>ed: 7-chloro-1</w:t>
      </w:r>
      <w:r w:rsidR="00CA4D23" w:rsidRPr="00592980">
        <w:rPr>
          <w:rFonts w:ascii="Arial" w:hAnsi="Arial" w:cs="Arial"/>
          <w:lang w:val="es-AR"/>
        </w:rPr>
        <w:t>-methyl-5-phenil-1,3-dihydro-2H-1,4-benzodiazepin-2-one.</w:t>
      </w:r>
    </w:p>
    <w:p w:rsidR="00CA4D23" w:rsidRPr="00592980" w:rsidRDefault="00CA4D23" w:rsidP="00CA4D23">
      <w:pPr>
        <w:keepNext/>
        <w:tabs>
          <w:tab w:val="num" w:pos="1080"/>
        </w:tabs>
        <w:ind w:left="1080" w:hanging="360"/>
        <w:rPr>
          <w:rFonts w:ascii="Arial" w:hAnsi="Arial" w:cs="Arial"/>
          <w:lang w:val="es-AR"/>
        </w:rPr>
      </w:pPr>
    </w:p>
    <w:p w:rsidR="00CA4D23" w:rsidRPr="00CA4D23" w:rsidRDefault="00CA4D23" w:rsidP="00CA4D23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CA4D23">
        <w:rPr>
          <w:rFonts w:ascii="Arial" w:hAnsi="Arial" w:cs="Arial"/>
          <w:u w:val="single"/>
          <w:lang w:val="es-AR"/>
        </w:rPr>
        <w:t>Fórmula molecular</w:t>
      </w:r>
      <w:r w:rsidRPr="00CA4D23">
        <w:rPr>
          <w:rFonts w:ascii="Arial" w:hAnsi="Arial" w:cs="Arial"/>
          <w:lang w:val="es-AR"/>
        </w:rPr>
        <w:t xml:space="preserve"> (FM): C</w:t>
      </w:r>
      <w:r w:rsidRPr="001206BB">
        <w:rPr>
          <w:rFonts w:ascii="Arial" w:hAnsi="Arial" w:cs="Arial"/>
          <w:sz w:val="16"/>
          <w:szCs w:val="16"/>
          <w:lang w:val="es-AR"/>
        </w:rPr>
        <w:t>16</w:t>
      </w:r>
      <w:r w:rsidRPr="00CA4D23">
        <w:rPr>
          <w:rFonts w:ascii="Arial" w:hAnsi="Arial" w:cs="Arial"/>
          <w:lang w:val="es-AR"/>
        </w:rPr>
        <w:t>H</w:t>
      </w:r>
      <w:r w:rsidRPr="001206BB">
        <w:rPr>
          <w:rFonts w:ascii="Arial" w:hAnsi="Arial" w:cs="Arial"/>
          <w:sz w:val="16"/>
          <w:szCs w:val="16"/>
          <w:lang w:val="es-AR"/>
        </w:rPr>
        <w:t>13</w:t>
      </w:r>
      <w:r w:rsidRPr="00CA4D23">
        <w:rPr>
          <w:rFonts w:ascii="Arial" w:hAnsi="Arial" w:cs="Arial"/>
          <w:lang w:val="es-AR"/>
        </w:rPr>
        <w:t>CIN</w:t>
      </w:r>
      <w:r w:rsidRPr="001206BB">
        <w:rPr>
          <w:rFonts w:ascii="Arial" w:hAnsi="Arial" w:cs="Arial"/>
          <w:sz w:val="16"/>
          <w:szCs w:val="16"/>
          <w:lang w:val="es-AR"/>
        </w:rPr>
        <w:t>2</w:t>
      </w:r>
      <w:r w:rsidRPr="00CA4D23">
        <w:rPr>
          <w:rFonts w:ascii="Arial" w:hAnsi="Arial" w:cs="Arial"/>
          <w:lang w:val="es-AR"/>
        </w:rPr>
        <w:t>O</w:t>
      </w:r>
    </w:p>
    <w:p w:rsidR="00CA4D23" w:rsidRPr="00CA4D23" w:rsidRDefault="00CA4D23" w:rsidP="00CA4D23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CA4D23">
        <w:rPr>
          <w:rFonts w:ascii="Arial" w:hAnsi="Arial" w:cs="Arial"/>
          <w:u w:val="single"/>
          <w:lang w:val="es-AR"/>
        </w:rPr>
        <w:t>Peso molecular (PM):</w:t>
      </w:r>
      <w:r w:rsidRPr="00CA4D23">
        <w:rPr>
          <w:rFonts w:ascii="Arial" w:hAnsi="Arial" w:cs="Arial"/>
          <w:lang w:val="es-AR"/>
        </w:rPr>
        <w:t xml:space="preserve"> 284,75</w:t>
      </w:r>
    </w:p>
    <w:p w:rsidR="00CA4D23" w:rsidRPr="00CA4D23" w:rsidRDefault="00CA4D23" w:rsidP="00CA4D23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>
        <w:rPr>
          <w:rFonts w:ascii="Arial" w:hAnsi="Arial" w:cs="Arial"/>
          <w:u w:val="single"/>
          <w:lang w:val="es-AR"/>
        </w:rPr>
        <w:t>Envasado y almacenamiento</w:t>
      </w:r>
      <w:r w:rsidRPr="00CA4D23">
        <w:rPr>
          <w:rFonts w:ascii="Arial" w:hAnsi="Arial" w:cs="Arial"/>
          <w:u w:val="single"/>
          <w:lang w:val="es-AR"/>
        </w:rPr>
        <w:t>:</w:t>
      </w:r>
      <w:r w:rsidRPr="00CA4D23">
        <w:rPr>
          <w:rFonts w:ascii="Arial" w:hAnsi="Arial" w:cs="Arial"/>
          <w:lang w:val="es-AR"/>
        </w:rPr>
        <w:t xml:space="preserve"> Conservar en recipiente</w:t>
      </w:r>
      <w:r w:rsidR="00592980">
        <w:rPr>
          <w:rFonts w:ascii="Arial" w:hAnsi="Arial" w:cs="Arial"/>
          <w:lang w:val="es-AR"/>
        </w:rPr>
        <w:t>s</w:t>
      </w:r>
      <w:r w:rsidRPr="00CA4D23">
        <w:rPr>
          <w:rFonts w:ascii="Arial" w:hAnsi="Arial" w:cs="Arial"/>
          <w:lang w:val="es-AR"/>
        </w:rPr>
        <w:t xml:space="preserve"> impermeables, resistentes a la luz.</w:t>
      </w:r>
    </w:p>
    <w:p w:rsidR="005F29A3" w:rsidRPr="00CA4D23" w:rsidRDefault="005F29A3" w:rsidP="00CA4D23">
      <w:pPr>
        <w:keepNext/>
        <w:keepLines/>
        <w:widowControl w:val="0"/>
        <w:rPr>
          <w:rFonts w:ascii="Arial" w:hAnsi="Arial" w:cs="Arial"/>
          <w:u w:val="single"/>
          <w:lang w:val="es-AR"/>
        </w:rPr>
      </w:pPr>
    </w:p>
    <w:p w:rsidR="00325392" w:rsidRDefault="00F92AA5" w:rsidP="00CA4D23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CA4D23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80"/>
        <w:gridCol w:w="2011"/>
        <w:gridCol w:w="20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CA4D2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CA4D2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CA4D2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CA4D23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A4D23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47" w:type="pct"/>
            <w:tcBorders>
              <w:top w:val="double" w:sz="4" w:space="0" w:color="auto"/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Aspecto</w:t>
            </w:r>
          </w:p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4" w:type="pct"/>
            <w:tcBorders>
              <w:top w:val="double" w:sz="4" w:space="0" w:color="auto"/>
              <w:left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Polvo cristalino, de color blanco a amarillo. Prácticamente inodoro.</w:t>
            </w:r>
          </w:p>
        </w:tc>
        <w:tc>
          <w:tcPr>
            <w:tcW w:w="1008" w:type="pct"/>
            <w:tcBorders>
              <w:top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CA4D23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USP 30</w:t>
            </w:r>
          </w:p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CA4D2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Prácticamente insoluble en agua; fácilmente soluble en cloroformo; soluble en alcohol.</w:t>
            </w:r>
          </w:p>
        </w:tc>
        <w:tc>
          <w:tcPr>
            <w:tcW w:w="1008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  <w:r w:rsidRPr="00CA4D23">
              <w:rPr>
                <w:rFonts w:ascii="Arial" w:hAnsi="Arial" w:cs="Arial"/>
                <w:lang w:val="es-AR"/>
              </w:rPr>
              <w:t xml:space="preserve"> </w:t>
            </w:r>
          </w:p>
        </w:tc>
        <w:tc>
          <w:tcPr>
            <w:tcW w:w="1051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CA4D2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CA4D23" w:rsidRPr="003E675A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El espectro </w:t>
            </w:r>
            <w:r w:rsidR="00592980">
              <w:rPr>
                <w:rFonts w:ascii="Arial" w:hAnsi="Arial" w:cs="Arial"/>
                <w:lang w:val="es-AR"/>
              </w:rPr>
              <w:t xml:space="preserve">IR </w:t>
            </w:r>
            <w:r w:rsidRPr="003E675A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3E675A">
              <w:rPr>
                <w:rFonts w:ascii="Arial" w:hAnsi="Arial" w:cs="Arial"/>
                <w:lang w:val="es-AR"/>
              </w:rPr>
              <w:t xml:space="preserve"> estándar de referencia. </w:t>
            </w:r>
          </w:p>
        </w:tc>
        <w:tc>
          <w:tcPr>
            <w:tcW w:w="1008" w:type="pct"/>
          </w:tcPr>
          <w:p w:rsidR="00CA4D23" w:rsidRPr="003E675A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Espectroscopía IR</w:t>
            </w:r>
          </w:p>
        </w:tc>
        <w:tc>
          <w:tcPr>
            <w:tcW w:w="1051" w:type="pct"/>
          </w:tcPr>
          <w:p w:rsidR="00CA4D23" w:rsidRPr="003E675A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(197K)</w:t>
            </w:r>
          </w:p>
        </w:tc>
      </w:tr>
      <w:tr w:rsidR="00CA4D2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CA4D23" w:rsidRPr="008041A8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El Rf de la mancha principal obtenida con la muestra se corresponde con el del testigo.</w:t>
            </w:r>
          </w:p>
        </w:tc>
        <w:tc>
          <w:tcPr>
            <w:tcW w:w="1008" w:type="pct"/>
          </w:tcPr>
          <w:p w:rsidR="00CA4D23" w:rsidRPr="008041A8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TLC.</w:t>
            </w:r>
          </w:p>
        </w:tc>
        <w:tc>
          <w:tcPr>
            <w:tcW w:w="1051" w:type="pct"/>
          </w:tcPr>
          <w:p w:rsidR="00CA4D23" w:rsidRPr="008041A8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5B2B7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5B2B75" w:rsidRPr="00995101" w:rsidRDefault="005B2B75" w:rsidP="00D078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5B2B75" w:rsidRPr="003E675A" w:rsidRDefault="005B2B75" w:rsidP="00D0787E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08" w:type="pct"/>
          </w:tcPr>
          <w:p w:rsidR="005B2B75" w:rsidRPr="003E675A" w:rsidRDefault="005B2B75" w:rsidP="00D0787E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51" w:type="pct"/>
          </w:tcPr>
          <w:p w:rsidR="005B2B75" w:rsidRPr="003E675A" w:rsidRDefault="005B2B75" w:rsidP="00D0787E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5B2B7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5B2B75" w:rsidRPr="00995101" w:rsidRDefault="005B2B75" w:rsidP="00D0787E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Intervalo de fusión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5B2B75" w:rsidRPr="00CA4D23" w:rsidRDefault="005B2B75" w:rsidP="00D0787E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131°-135° C</w:t>
            </w:r>
          </w:p>
        </w:tc>
        <w:tc>
          <w:tcPr>
            <w:tcW w:w="1008" w:type="pct"/>
          </w:tcPr>
          <w:p w:rsidR="005B2B75" w:rsidRPr="00CA4D23" w:rsidRDefault="005B2B75" w:rsidP="00D0787E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51" w:type="pct"/>
          </w:tcPr>
          <w:p w:rsidR="005B2B75" w:rsidRPr="00CA4D23" w:rsidRDefault="005B2B75" w:rsidP="00D0787E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USP 30, Clase I (741)</w:t>
            </w:r>
          </w:p>
        </w:tc>
      </w:tr>
    </w:tbl>
    <w:p w:rsidR="009C3169" w:rsidRDefault="009C3169" w:rsidP="00CA4D23">
      <w:pPr>
        <w:keepNext/>
        <w:keepLines/>
        <w:widowControl w:val="0"/>
        <w:rPr>
          <w:rFonts w:ascii="Arial" w:hAnsi="Arial" w:cs="Arial"/>
        </w:rPr>
      </w:pPr>
    </w:p>
    <w:p w:rsidR="003A118D" w:rsidRDefault="003A118D" w:rsidP="00CA4D23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8"/>
        <w:gridCol w:w="3987"/>
        <w:gridCol w:w="2133"/>
        <w:gridCol w:w="2060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CA4D2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CA4D2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CA4D2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CA4D23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A4D23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1996" w:type="pct"/>
            <w:tcBorders>
              <w:left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≤0,5 %</w:t>
            </w:r>
          </w:p>
        </w:tc>
        <w:tc>
          <w:tcPr>
            <w:tcW w:w="1068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31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CA4D23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6" w:type="pct"/>
            <w:tcBorders>
              <w:left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≤0,1 %</w:t>
            </w:r>
          </w:p>
        </w:tc>
        <w:tc>
          <w:tcPr>
            <w:tcW w:w="1068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31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CA4D23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Compuestos relacionados</w:t>
            </w:r>
          </w:p>
        </w:tc>
        <w:tc>
          <w:tcPr>
            <w:tcW w:w="1996" w:type="pct"/>
            <w:tcBorders>
              <w:left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 xml:space="preserve">≤0,1 % de cualquier impureza y ≤ </w:t>
            </w:r>
            <w:r w:rsidR="00592980">
              <w:rPr>
                <w:rFonts w:ascii="Arial" w:hAnsi="Arial" w:cs="Arial"/>
                <w:lang w:val="es-AR"/>
              </w:rPr>
              <w:t>1.0</w:t>
            </w:r>
            <w:r w:rsidR="005B2B75">
              <w:rPr>
                <w:rFonts w:ascii="Arial" w:hAnsi="Arial" w:cs="Arial"/>
                <w:lang w:val="es-AR"/>
              </w:rPr>
              <w:t xml:space="preserve"> </w:t>
            </w:r>
            <w:r w:rsidRPr="00CA4D23">
              <w:rPr>
                <w:rFonts w:ascii="Arial" w:hAnsi="Arial" w:cs="Arial"/>
                <w:lang w:val="es-AR"/>
              </w:rPr>
              <w:t>% de impurezas totales.</w:t>
            </w:r>
          </w:p>
        </w:tc>
        <w:tc>
          <w:tcPr>
            <w:tcW w:w="1068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31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CA4D23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5" w:type="pct"/>
            <w:tcBorders>
              <w:right w:val="double" w:sz="4" w:space="0" w:color="auto"/>
            </w:tcBorders>
          </w:tcPr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95101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CA4D23" w:rsidRPr="00995101" w:rsidRDefault="00CA4D23" w:rsidP="00CA4D23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6" w:type="pct"/>
            <w:tcBorders>
              <w:left w:val="double" w:sz="4" w:space="0" w:color="auto"/>
            </w:tcBorders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 xml:space="preserve">95,0-105,0 % de </w:t>
            </w:r>
            <w:r w:rsidR="005B2B75">
              <w:rPr>
                <w:rFonts w:ascii="Arial" w:hAnsi="Arial" w:cs="Arial"/>
                <w:lang w:val="es-AR"/>
              </w:rPr>
              <w:t>Diazepam</w:t>
            </w:r>
            <w:r w:rsidRPr="00CA4D23">
              <w:rPr>
                <w:rFonts w:ascii="Arial" w:hAnsi="Arial" w:cs="Arial"/>
                <w:lang w:val="es-AR"/>
              </w:rPr>
              <w:t>, calculado con respecto a la sustancia seca.</w:t>
            </w:r>
          </w:p>
        </w:tc>
        <w:tc>
          <w:tcPr>
            <w:tcW w:w="1068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31" w:type="pct"/>
          </w:tcPr>
          <w:p w:rsidR="00CA4D23" w:rsidRPr="00CA4D23" w:rsidRDefault="00CA4D23" w:rsidP="00CA4D23">
            <w:pPr>
              <w:keepNext/>
              <w:rPr>
                <w:rFonts w:ascii="Arial" w:hAnsi="Arial" w:cs="Arial"/>
                <w:lang w:val="es-AR"/>
              </w:rPr>
            </w:pPr>
            <w:r w:rsidRPr="00CA4D23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A4658A" w:rsidRDefault="00A4658A" w:rsidP="00A4658A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CA4D23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CA4D23">
      <w:pPr>
        <w:keepNext/>
        <w:keepLines/>
        <w:widowControl w:val="0"/>
      </w:pPr>
    </w:p>
    <w:p w:rsidR="00F33A4C" w:rsidRPr="00F33A4C" w:rsidRDefault="009C3169" w:rsidP="00CA4D2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CA4D2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CA4D2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CA4D2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CA4D23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0F5539" w:rsidP="00CA4D23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CA4D23">
      <w:pPr>
        <w:keepNext/>
        <w:keepLines/>
        <w:widowControl w:val="0"/>
      </w:pPr>
    </w:p>
    <w:p w:rsid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CA4D23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7CB" w:rsidRDefault="008A17CB" w:rsidP="00BE1875">
      <w:pPr>
        <w:pStyle w:val="Encabezado"/>
      </w:pPr>
      <w:r>
        <w:separator/>
      </w:r>
    </w:p>
  </w:endnote>
  <w:endnote w:type="continuationSeparator" w:id="0">
    <w:p w:rsidR="008A17CB" w:rsidRDefault="008A17CB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7B79C4">
      <w:tc>
        <w:tcPr>
          <w:tcW w:w="2268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</w:p>
      </w:tc>
    </w:tr>
    <w:tr w:rsidR="007B79C4">
      <w:trPr>
        <w:trHeight w:val="1489"/>
      </w:trPr>
      <w:tc>
        <w:tcPr>
          <w:tcW w:w="2268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7B79C4" w:rsidRPr="00A708F6" w:rsidRDefault="007B79C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7B79C4" w:rsidRDefault="007B79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7CB" w:rsidRDefault="008A17CB" w:rsidP="00BE1875">
      <w:pPr>
        <w:pStyle w:val="Encabezado"/>
      </w:pPr>
      <w:r>
        <w:separator/>
      </w:r>
    </w:p>
  </w:footnote>
  <w:footnote w:type="continuationSeparator" w:id="0">
    <w:p w:rsidR="008A17CB" w:rsidRDefault="008A17CB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9C4" w:rsidRDefault="007B79C4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1"/>
      <w:gridCol w:w="3238"/>
    </w:tblGrid>
    <w:tr w:rsidR="007B79C4">
      <w:trPr>
        <w:trHeight w:val="620"/>
      </w:trPr>
      <w:tc>
        <w:tcPr>
          <w:tcW w:w="2448" w:type="dxa"/>
          <w:vMerge w:val="restart"/>
        </w:tcPr>
        <w:p w:rsidR="007B79C4" w:rsidRPr="00F43ADE" w:rsidRDefault="00C9187F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B79C4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7B79C4" w:rsidRDefault="007B79C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7B79C4" w:rsidRDefault="007B79C4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7B79C4" w:rsidRPr="005D6123" w:rsidRDefault="00CA4D23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DIAZEPAM</w:t>
          </w:r>
        </w:p>
      </w:tc>
      <w:tc>
        <w:tcPr>
          <w:tcW w:w="3293" w:type="dxa"/>
        </w:tcPr>
        <w:p w:rsidR="007B79C4" w:rsidRDefault="007B79C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7B79C4" w:rsidRPr="005B2B75" w:rsidRDefault="005B2B75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5B2B75">
            <w:rPr>
              <w:rFonts w:ascii="Arial" w:hAnsi="Arial" w:cs="Arial"/>
              <w:b/>
            </w:rPr>
            <w:t>MP029-00</w:t>
          </w:r>
        </w:p>
      </w:tc>
    </w:tr>
    <w:tr w:rsidR="007B79C4">
      <w:trPr>
        <w:trHeight w:val="620"/>
      </w:trPr>
      <w:tc>
        <w:tcPr>
          <w:tcW w:w="2448" w:type="dxa"/>
          <w:vMerge/>
        </w:tcPr>
        <w:p w:rsidR="007B79C4" w:rsidRPr="00F43ADE" w:rsidRDefault="007B79C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79C4" w:rsidRPr="00F43ADE" w:rsidRDefault="007B79C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7B79C4" w:rsidRPr="00D30DAF" w:rsidRDefault="007B79C4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7B79C4">
      <w:trPr>
        <w:trHeight w:val="620"/>
      </w:trPr>
      <w:tc>
        <w:tcPr>
          <w:tcW w:w="2448" w:type="dxa"/>
          <w:vMerge/>
        </w:tcPr>
        <w:p w:rsidR="007B79C4" w:rsidRPr="00F43ADE" w:rsidRDefault="007B79C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79C4" w:rsidRPr="00F43ADE" w:rsidRDefault="007B79C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7B79C4" w:rsidRPr="005B2B75" w:rsidRDefault="007B79C4" w:rsidP="005C7662">
          <w:pPr>
            <w:pStyle w:val="Encabezado"/>
            <w:rPr>
              <w:rFonts w:ascii="Arial" w:hAnsi="Arial" w:cs="Arial"/>
            </w:rPr>
          </w:pPr>
          <w:r w:rsidRPr="005B2B75">
            <w:rPr>
              <w:rFonts w:ascii="Arial" w:hAnsi="Arial" w:cs="Arial"/>
              <w:b/>
            </w:rPr>
            <w:t xml:space="preserve">Acción </w:t>
          </w:r>
          <w:r w:rsidR="00DD60F5" w:rsidRPr="005B2B75">
            <w:rPr>
              <w:rFonts w:ascii="Arial" w:hAnsi="Arial" w:cs="Arial"/>
              <w:b/>
            </w:rPr>
            <w:t>Terapéutica</w:t>
          </w:r>
          <w:r w:rsidRPr="005B2B75">
            <w:rPr>
              <w:rFonts w:ascii="Arial" w:hAnsi="Arial" w:cs="Arial"/>
              <w:b/>
            </w:rPr>
            <w:t xml:space="preserve">: </w:t>
          </w:r>
          <w:r w:rsidR="005B2B75" w:rsidRPr="005B2B75">
            <w:rPr>
              <w:rFonts w:ascii="Arial" w:hAnsi="Arial" w:cs="Arial"/>
            </w:rPr>
            <w:t>Tranquilizante, miorrelajante</w:t>
          </w:r>
        </w:p>
      </w:tc>
    </w:tr>
    <w:tr w:rsidR="007B79C4" w:rsidRPr="00F43ADE">
      <w:trPr>
        <w:trHeight w:val="541"/>
      </w:trPr>
      <w:tc>
        <w:tcPr>
          <w:tcW w:w="2448" w:type="dxa"/>
          <w:vMerge/>
        </w:tcPr>
        <w:p w:rsidR="007B79C4" w:rsidRPr="00F43ADE" w:rsidRDefault="007B79C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7B79C4" w:rsidRPr="00F43ADE" w:rsidRDefault="007B79C4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C9187F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C9187F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7B79C4" w:rsidRDefault="007B79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294647F"/>
    <w:multiLevelType w:val="hybridMultilevel"/>
    <w:tmpl w:val="D470681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1"/>
  </w:num>
  <w:num w:numId="5">
    <w:abstractNumId w:val="10"/>
  </w:num>
  <w:num w:numId="6">
    <w:abstractNumId w:val="3"/>
  </w:num>
  <w:num w:numId="7">
    <w:abstractNumId w:val="5"/>
  </w:num>
  <w:num w:numId="8">
    <w:abstractNumId w:val="9"/>
  </w:num>
  <w:num w:numId="9">
    <w:abstractNumId w:val="0"/>
  </w:num>
  <w:num w:numId="10">
    <w:abstractNumId w:val="12"/>
  </w:num>
  <w:num w:numId="11">
    <w:abstractNumId w:val="15"/>
  </w:num>
  <w:num w:numId="12">
    <w:abstractNumId w:val="14"/>
  </w:num>
  <w:num w:numId="13">
    <w:abstractNumId w:val="17"/>
  </w:num>
  <w:num w:numId="14">
    <w:abstractNumId w:val="7"/>
  </w:num>
  <w:num w:numId="15">
    <w:abstractNumId w:val="8"/>
  </w:num>
  <w:num w:numId="16">
    <w:abstractNumId w:val="4"/>
  </w:num>
  <w:num w:numId="17">
    <w:abstractNumId w:val="18"/>
  </w:num>
  <w:num w:numId="18">
    <w:abstractNumId w:val="16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0474F"/>
    <w:rsid w:val="000128DC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B4C96"/>
    <w:rsid w:val="000E60D0"/>
    <w:rsid w:val="000F5539"/>
    <w:rsid w:val="00114A1B"/>
    <w:rsid w:val="00116054"/>
    <w:rsid w:val="001206BB"/>
    <w:rsid w:val="001500C3"/>
    <w:rsid w:val="00151C97"/>
    <w:rsid w:val="001658D9"/>
    <w:rsid w:val="0017768E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54BC"/>
    <w:rsid w:val="002616D7"/>
    <w:rsid w:val="00261F32"/>
    <w:rsid w:val="00264390"/>
    <w:rsid w:val="0027389F"/>
    <w:rsid w:val="00274C01"/>
    <w:rsid w:val="00282BD9"/>
    <w:rsid w:val="00283A02"/>
    <w:rsid w:val="002A719C"/>
    <w:rsid w:val="002A745B"/>
    <w:rsid w:val="002C14D5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A118D"/>
    <w:rsid w:val="003A5101"/>
    <w:rsid w:val="003C3899"/>
    <w:rsid w:val="003D13E7"/>
    <w:rsid w:val="003D4CB2"/>
    <w:rsid w:val="003E08DC"/>
    <w:rsid w:val="003E326B"/>
    <w:rsid w:val="003E675A"/>
    <w:rsid w:val="003E6836"/>
    <w:rsid w:val="00407F83"/>
    <w:rsid w:val="004646D8"/>
    <w:rsid w:val="00490624"/>
    <w:rsid w:val="004941CD"/>
    <w:rsid w:val="00497568"/>
    <w:rsid w:val="004A1A85"/>
    <w:rsid w:val="004B2C11"/>
    <w:rsid w:val="004C5A90"/>
    <w:rsid w:val="004F1413"/>
    <w:rsid w:val="004F1A24"/>
    <w:rsid w:val="004F3C37"/>
    <w:rsid w:val="005110D5"/>
    <w:rsid w:val="0051553B"/>
    <w:rsid w:val="00521605"/>
    <w:rsid w:val="00525D72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92980"/>
    <w:rsid w:val="005A61F1"/>
    <w:rsid w:val="005B2279"/>
    <w:rsid w:val="005B2B75"/>
    <w:rsid w:val="005B2D4E"/>
    <w:rsid w:val="005C7662"/>
    <w:rsid w:val="005D3FBE"/>
    <w:rsid w:val="005D5BC4"/>
    <w:rsid w:val="005D6123"/>
    <w:rsid w:val="005F29A3"/>
    <w:rsid w:val="005F71AF"/>
    <w:rsid w:val="0061097F"/>
    <w:rsid w:val="00640807"/>
    <w:rsid w:val="00643A36"/>
    <w:rsid w:val="00644E60"/>
    <w:rsid w:val="00663CCE"/>
    <w:rsid w:val="00665801"/>
    <w:rsid w:val="00666FC3"/>
    <w:rsid w:val="00676BB5"/>
    <w:rsid w:val="006948CA"/>
    <w:rsid w:val="006B2BC7"/>
    <w:rsid w:val="006E3EDC"/>
    <w:rsid w:val="006E6FC5"/>
    <w:rsid w:val="00710B8D"/>
    <w:rsid w:val="00717681"/>
    <w:rsid w:val="007177F3"/>
    <w:rsid w:val="00721041"/>
    <w:rsid w:val="007465C6"/>
    <w:rsid w:val="00757A3C"/>
    <w:rsid w:val="007656C7"/>
    <w:rsid w:val="00767BBA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A17CB"/>
    <w:rsid w:val="008B2002"/>
    <w:rsid w:val="008B22C3"/>
    <w:rsid w:val="008D160A"/>
    <w:rsid w:val="008D1E4C"/>
    <w:rsid w:val="008F058B"/>
    <w:rsid w:val="008F4B2B"/>
    <w:rsid w:val="0090015E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510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658A"/>
    <w:rsid w:val="00A470F1"/>
    <w:rsid w:val="00A576CA"/>
    <w:rsid w:val="00A67F86"/>
    <w:rsid w:val="00A708F6"/>
    <w:rsid w:val="00A74D59"/>
    <w:rsid w:val="00A77198"/>
    <w:rsid w:val="00AA3CF7"/>
    <w:rsid w:val="00AA53DF"/>
    <w:rsid w:val="00AC05A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9187F"/>
    <w:rsid w:val="00CA09AF"/>
    <w:rsid w:val="00CA21C2"/>
    <w:rsid w:val="00CA4D23"/>
    <w:rsid w:val="00CB2F2A"/>
    <w:rsid w:val="00CC062E"/>
    <w:rsid w:val="00CF1CD7"/>
    <w:rsid w:val="00CF43BC"/>
    <w:rsid w:val="00D05D91"/>
    <w:rsid w:val="00D0787E"/>
    <w:rsid w:val="00D22C21"/>
    <w:rsid w:val="00D26449"/>
    <w:rsid w:val="00D30DAF"/>
    <w:rsid w:val="00D446BA"/>
    <w:rsid w:val="00D44BEC"/>
    <w:rsid w:val="00D603C6"/>
    <w:rsid w:val="00D73137"/>
    <w:rsid w:val="00D760EE"/>
    <w:rsid w:val="00D8797E"/>
    <w:rsid w:val="00D930F0"/>
    <w:rsid w:val="00DB29B5"/>
    <w:rsid w:val="00DC23DF"/>
    <w:rsid w:val="00DD60F5"/>
    <w:rsid w:val="00DF462F"/>
    <w:rsid w:val="00DF68CC"/>
    <w:rsid w:val="00E01537"/>
    <w:rsid w:val="00E25F2B"/>
    <w:rsid w:val="00E455D6"/>
    <w:rsid w:val="00E749F9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A5B72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C65D7ED-3DB8-47D2-B401-6CBE3D67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2008-05-23T12:39:00Z</cp:lastPrinted>
  <dcterms:created xsi:type="dcterms:W3CDTF">2026-07-16T19:51:00Z</dcterms:created>
  <dcterms:modified xsi:type="dcterms:W3CDTF">2026-07-16T19:51:00Z</dcterms:modified>
</cp:coreProperties>
</file>