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0A6DD1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0A6DD1">
      <w:pPr>
        <w:keepNext/>
      </w:pPr>
    </w:p>
    <w:p w:rsidR="00934223" w:rsidRPr="00934223" w:rsidRDefault="00934223" w:rsidP="0054515A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934223">
        <w:rPr>
          <w:rFonts w:ascii="Arial" w:hAnsi="Arial" w:cs="Arial"/>
          <w:u w:val="single"/>
          <w:lang w:val="es-AR"/>
        </w:rPr>
        <w:t>Sinonimia:</w:t>
      </w:r>
      <w:r w:rsidRPr="00934223">
        <w:rPr>
          <w:rFonts w:ascii="Arial" w:hAnsi="Arial" w:cs="Arial"/>
          <w:lang w:val="es-AR"/>
        </w:rPr>
        <w:t xml:space="preserve"> </w:t>
      </w:r>
      <w:r w:rsidR="002751CB">
        <w:rPr>
          <w:rFonts w:ascii="Arial" w:hAnsi="Arial" w:cs="Arial"/>
          <w:lang w:val="es-AR"/>
        </w:rPr>
        <w:t>N/A</w:t>
      </w:r>
    </w:p>
    <w:p w:rsidR="000A6DD1" w:rsidRPr="000A6DD1" w:rsidRDefault="000A6DD1" w:rsidP="000A6DD1">
      <w:pPr>
        <w:keepNext/>
        <w:numPr>
          <w:ilvl w:val="0"/>
          <w:numId w:val="17"/>
        </w:numPr>
        <w:jc w:val="both"/>
        <w:rPr>
          <w:rFonts w:ascii="Arial" w:hAnsi="Arial" w:cs="Arial"/>
          <w:lang w:val="es-AR"/>
        </w:rPr>
      </w:pPr>
      <w:r w:rsidRPr="000A6DD1">
        <w:rPr>
          <w:rFonts w:ascii="Arial" w:hAnsi="Arial" w:cs="Arial"/>
          <w:u w:val="single"/>
          <w:lang w:val="es-AR"/>
        </w:rPr>
        <w:t>CAS N°:</w:t>
      </w:r>
      <w:r w:rsidRPr="000A6DD1">
        <w:rPr>
          <w:rFonts w:ascii="Arial" w:hAnsi="Arial" w:cs="Arial"/>
          <w:lang w:val="es-AR"/>
        </w:rPr>
        <w:t xml:space="preserve"> [16595-80-5]</w:t>
      </w:r>
    </w:p>
    <w:p w:rsidR="000A6DD1" w:rsidRDefault="000A6DD1" w:rsidP="000A6DD1">
      <w:pPr>
        <w:keepNext/>
        <w:numPr>
          <w:ilvl w:val="0"/>
          <w:numId w:val="17"/>
        </w:numPr>
        <w:jc w:val="both"/>
        <w:rPr>
          <w:rFonts w:ascii="Arial" w:hAnsi="Arial" w:cs="Arial"/>
          <w:u w:val="single"/>
          <w:lang w:val="es-AR"/>
        </w:rPr>
      </w:pPr>
      <w:r w:rsidRPr="000A6DD1">
        <w:rPr>
          <w:rFonts w:ascii="Arial" w:hAnsi="Arial" w:cs="Arial"/>
          <w:u w:val="single"/>
          <w:lang w:val="es-AR"/>
        </w:rPr>
        <w:t>Nombre químico:</w:t>
      </w:r>
    </w:p>
    <w:p w:rsidR="000A6DD1" w:rsidRPr="000A6DD1" w:rsidRDefault="000A6DD1" w:rsidP="000A6DD1">
      <w:pPr>
        <w:keepNext/>
        <w:jc w:val="both"/>
        <w:rPr>
          <w:rFonts w:ascii="Arial" w:hAnsi="Arial" w:cs="Arial"/>
          <w:u w:val="single"/>
          <w:lang w:val="es-AR"/>
        </w:rPr>
      </w:pPr>
    </w:p>
    <w:p w:rsidR="000A6DD1" w:rsidRPr="000A6DD1" w:rsidRDefault="000A6DD1" w:rsidP="000A6DD1">
      <w:pPr>
        <w:keepNext/>
        <w:numPr>
          <w:ilvl w:val="0"/>
          <w:numId w:val="2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 w:rsidRPr="000A6DD1">
        <w:rPr>
          <w:rFonts w:ascii="Arial" w:hAnsi="Arial" w:cs="Arial"/>
          <w:lang w:val="es-AR"/>
        </w:rPr>
        <w:t>Según USP 30: Monoclorhidrato de (-)-2</w:t>
      </w:r>
      <w:r w:rsidR="0054515A">
        <w:rPr>
          <w:rFonts w:ascii="Arial" w:hAnsi="Arial" w:cs="Arial"/>
          <w:lang w:val="es-AR"/>
        </w:rPr>
        <w:t>,</w:t>
      </w:r>
      <w:r w:rsidRPr="000A6DD1">
        <w:rPr>
          <w:rFonts w:ascii="Arial" w:hAnsi="Arial" w:cs="Arial"/>
          <w:lang w:val="es-AR"/>
        </w:rPr>
        <w:t>3</w:t>
      </w:r>
      <w:r w:rsidR="0054515A">
        <w:rPr>
          <w:rFonts w:ascii="Arial" w:hAnsi="Arial" w:cs="Arial"/>
          <w:lang w:val="es-AR"/>
        </w:rPr>
        <w:t>,5,</w:t>
      </w:r>
      <w:r w:rsidRPr="000A6DD1">
        <w:rPr>
          <w:rFonts w:ascii="Arial" w:hAnsi="Arial" w:cs="Arial"/>
          <w:lang w:val="es-AR"/>
        </w:rPr>
        <w:t>6-tetrahidro-6-fenilimidazo [2,1-b]</w:t>
      </w:r>
      <w:r w:rsidR="0054515A">
        <w:rPr>
          <w:rFonts w:ascii="Arial" w:hAnsi="Arial" w:cs="Arial"/>
          <w:lang w:val="es-AR"/>
        </w:rPr>
        <w:t xml:space="preserve"> </w:t>
      </w:r>
      <w:r w:rsidRPr="000A6DD1">
        <w:rPr>
          <w:rFonts w:ascii="Arial" w:hAnsi="Arial" w:cs="Arial"/>
          <w:lang w:val="es-AR"/>
        </w:rPr>
        <w:t>tiazol.</w:t>
      </w:r>
    </w:p>
    <w:p w:rsidR="000A6DD1" w:rsidRPr="000A6DD1" w:rsidRDefault="000A6DD1" w:rsidP="000A6DD1">
      <w:pPr>
        <w:keepNext/>
        <w:tabs>
          <w:tab w:val="num" w:pos="1080"/>
        </w:tabs>
        <w:ind w:left="1080" w:hanging="360"/>
        <w:jc w:val="both"/>
        <w:rPr>
          <w:rFonts w:ascii="Arial" w:hAnsi="Arial" w:cs="Arial"/>
          <w:lang w:val="es-AR"/>
        </w:rPr>
      </w:pPr>
    </w:p>
    <w:p w:rsidR="000A6DD1" w:rsidRPr="000A6DD1" w:rsidRDefault="000A6DD1" w:rsidP="000A6DD1">
      <w:pPr>
        <w:keepNext/>
        <w:numPr>
          <w:ilvl w:val="0"/>
          <w:numId w:val="2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 w:rsidRPr="000A6DD1">
        <w:rPr>
          <w:rFonts w:ascii="Arial" w:hAnsi="Arial" w:cs="Arial"/>
          <w:lang w:val="es-AR"/>
        </w:rPr>
        <w:t>Según Eur. Ph. 4</w:t>
      </w:r>
      <w:r w:rsidRPr="000A6DD1">
        <w:rPr>
          <w:rFonts w:ascii="Arial" w:hAnsi="Arial" w:cs="Arial"/>
          <w:sz w:val="20"/>
          <w:szCs w:val="20"/>
          <w:lang w:val="es-AR"/>
        </w:rPr>
        <w:t xml:space="preserve">ª </w:t>
      </w:r>
      <w:r w:rsidRPr="000A6DD1">
        <w:rPr>
          <w:rFonts w:ascii="Arial" w:hAnsi="Arial" w:cs="Arial"/>
          <w:lang w:val="es-AR"/>
        </w:rPr>
        <w:t>ed: (6S)-6-Phenyl</w:t>
      </w:r>
      <w:r w:rsidR="0054515A">
        <w:rPr>
          <w:rFonts w:ascii="Arial" w:hAnsi="Arial" w:cs="Arial"/>
          <w:lang w:val="es-AR"/>
        </w:rPr>
        <w:t>-2,3,5,6-tetrahydroimidazo [2,1-</w:t>
      </w:r>
      <w:r w:rsidRPr="000A6DD1">
        <w:rPr>
          <w:rFonts w:ascii="Arial" w:hAnsi="Arial" w:cs="Arial"/>
          <w:lang w:val="es-AR"/>
        </w:rPr>
        <w:t>b] thiazol</w:t>
      </w:r>
      <w:r w:rsidR="0054515A">
        <w:rPr>
          <w:rFonts w:ascii="Arial" w:hAnsi="Arial" w:cs="Arial"/>
          <w:lang w:val="es-AR"/>
        </w:rPr>
        <w:t>e hy</w:t>
      </w:r>
      <w:r w:rsidRPr="000A6DD1">
        <w:rPr>
          <w:rFonts w:ascii="Arial" w:hAnsi="Arial" w:cs="Arial"/>
          <w:lang w:val="es-AR"/>
        </w:rPr>
        <w:t>drochloride.</w:t>
      </w:r>
    </w:p>
    <w:p w:rsidR="000A6DD1" w:rsidRPr="000A6DD1" w:rsidRDefault="000A6DD1" w:rsidP="000A6DD1">
      <w:pPr>
        <w:keepNext/>
        <w:tabs>
          <w:tab w:val="num" w:pos="1080"/>
        </w:tabs>
        <w:ind w:left="1080" w:hanging="360"/>
        <w:jc w:val="both"/>
        <w:rPr>
          <w:rFonts w:ascii="Arial" w:hAnsi="Arial" w:cs="Arial"/>
          <w:lang w:val="es-AR"/>
        </w:rPr>
      </w:pPr>
    </w:p>
    <w:p w:rsidR="000A6DD1" w:rsidRPr="000A6DD1" w:rsidRDefault="000A6DD1" w:rsidP="000A6DD1">
      <w:pPr>
        <w:keepNext/>
        <w:numPr>
          <w:ilvl w:val="0"/>
          <w:numId w:val="17"/>
        </w:numPr>
        <w:jc w:val="both"/>
        <w:rPr>
          <w:rFonts w:ascii="Arial" w:hAnsi="Arial" w:cs="Arial"/>
          <w:lang w:val="es-AR"/>
        </w:rPr>
      </w:pPr>
      <w:r w:rsidRPr="000A6DD1">
        <w:rPr>
          <w:rFonts w:ascii="Arial" w:hAnsi="Arial" w:cs="Arial"/>
          <w:u w:val="single"/>
          <w:lang w:val="es-AR"/>
        </w:rPr>
        <w:t>Fórmula molecular</w:t>
      </w:r>
      <w:r w:rsidRPr="000A6DD1">
        <w:rPr>
          <w:rFonts w:ascii="Arial" w:hAnsi="Arial" w:cs="Arial"/>
          <w:lang w:val="es-AR"/>
        </w:rPr>
        <w:t xml:space="preserve"> (FM): C</w:t>
      </w:r>
      <w:r w:rsidRPr="000A6DD1">
        <w:rPr>
          <w:rFonts w:ascii="Arial" w:hAnsi="Arial" w:cs="Arial"/>
          <w:sz w:val="20"/>
          <w:szCs w:val="20"/>
          <w:lang w:val="es-AR"/>
        </w:rPr>
        <w:t>11</w:t>
      </w:r>
      <w:r w:rsidRPr="000A6DD1">
        <w:rPr>
          <w:rFonts w:ascii="Arial" w:hAnsi="Arial" w:cs="Arial"/>
          <w:lang w:val="es-AR"/>
        </w:rPr>
        <w:t>H</w:t>
      </w:r>
      <w:r w:rsidRPr="000A6DD1">
        <w:rPr>
          <w:rFonts w:ascii="Arial" w:hAnsi="Arial" w:cs="Arial"/>
          <w:sz w:val="20"/>
          <w:szCs w:val="20"/>
          <w:lang w:val="es-AR"/>
        </w:rPr>
        <w:t>12</w:t>
      </w:r>
      <w:r w:rsidRPr="000A6DD1">
        <w:rPr>
          <w:rFonts w:ascii="Arial" w:hAnsi="Arial" w:cs="Arial"/>
          <w:lang w:val="es-AR"/>
        </w:rPr>
        <w:t>N</w:t>
      </w:r>
      <w:r w:rsidRPr="000A6DD1">
        <w:rPr>
          <w:rFonts w:ascii="Arial" w:hAnsi="Arial" w:cs="Arial"/>
          <w:sz w:val="20"/>
          <w:szCs w:val="20"/>
          <w:lang w:val="es-AR"/>
        </w:rPr>
        <w:t>2</w:t>
      </w:r>
      <w:r w:rsidRPr="000A6DD1">
        <w:rPr>
          <w:rFonts w:ascii="Arial" w:hAnsi="Arial" w:cs="Arial"/>
          <w:lang w:val="es-AR"/>
        </w:rPr>
        <w:t>S.HCI</w:t>
      </w:r>
    </w:p>
    <w:p w:rsidR="000A6DD1" w:rsidRPr="000A6DD1" w:rsidRDefault="000A6DD1" w:rsidP="000A6DD1">
      <w:pPr>
        <w:keepNext/>
        <w:numPr>
          <w:ilvl w:val="0"/>
          <w:numId w:val="17"/>
        </w:numPr>
        <w:jc w:val="both"/>
        <w:rPr>
          <w:rFonts w:ascii="Arial" w:hAnsi="Arial" w:cs="Arial"/>
          <w:lang w:val="es-AR"/>
        </w:rPr>
      </w:pPr>
      <w:r w:rsidRPr="000A6DD1">
        <w:rPr>
          <w:rFonts w:ascii="Arial" w:hAnsi="Arial" w:cs="Arial"/>
          <w:u w:val="single"/>
          <w:lang w:val="es-AR"/>
        </w:rPr>
        <w:t>Peso molecular (PM):</w:t>
      </w:r>
      <w:r w:rsidRPr="000A6DD1">
        <w:rPr>
          <w:rFonts w:ascii="Arial" w:hAnsi="Arial" w:cs="Arial"/>
          <w:lang w:val="es-AR"/>
        </w:rPr>
        <w:t xml:space="preserve"> 240,75</w:t>
      </w:r>
    </w:p>
    <w:p w:rsidR="000A6DD1" w:rsidRPr="000A6DD1" w:rsidRDefault="000A6DD1" w:rsidP="000A6DD1">
      <w:pPr>
        <w:keepNext/>
        <w:numPr>
          <w:ilvl w:val="0"/>
          <w:numId w:val="17"/>
        </w:numPr>
        <w:jc w:val="both"/>
        <w:rPr>
          <w:rFonts w:ascii="Arial" w:hAnsi="Arial" w:cs="Arial"/>
          <w:lang w:val="es-AR"/>
        </w:rPr>
      </w:pPr>
      <w:r w:rsidRPr="000A6DD1">
        <w:rPr>
          <w:rFonts w:ascii="Arial" w:hAnsi="Arial" w:cs="Arial"/>
          <w:u w:val="single"/>
          <w:lang w:val="es-AR"/>
        </w:rPr>
        <w:t>Envasado y almacenamiento</w:t>
      </w:r>
      <w:r w:rsidRPr="000A6DD1">
        <w:rPr>
          <w:rFonts w:ascii="Arial" w:hAnsi="Arial" w:cs="Arial"/>
          <w:lang w:val="es-AR"/>
        </w:rPr>
        <w:t>: Conservar en envases bien cerrados, protegido de la luz.</w:t>
      </w:r>
    </w:p>
    <w:p w:rsidR="0066567E" w:rsidRPr="0066567E" w:rsidRDefault="0066567E" w:rsidP="000A6DD1">
      <w:pPr>
        <w:keepNext/>
        <w:rPr>
          <w:rFonts w:ascii="Arial" w:hAnsi="Arial" w:cs="Arial"/>
          <w:u w:val="single"/>
          <w:lang w:val="es-AR"/>
        </w:rPr>
      </w:pPr>
    </w:p>
    <w:p w:rsidR="00325392" w:rsidRDefault="00F92AA5" w:rsidP="000A6DD1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0A6DD1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25"/>
        <w:gridCol w:w="2117"/>
        <w:gridCol w:w="2045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0A6DD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7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0A6DD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5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0A6DD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0A6DD1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0A6DD1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Aspecto</w:t>
            </w:r>
          </w:p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70" w:type="pct"/>
            <w:tcBorders>
              <w:top w:val="double" w:sz="4" w:space="0" w:color="auto"/>
              <w:lef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Polvo cristalino; blanco o casi blanco.</w:t>
            </w:r>
          </w:p>
        </w:tc>
        <w:tc>
          <w:tcPr>
            <w:tcW w:w="1065" w:type="pct"/>
            <w:tcBorders>
              <w:top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Observación visual.</w:t>
            </w:r>
          </w:p>
        </w:tc>
        <w:tc>
          <w:tcPr>
            <w:tcW w:w="1028" w:type="pct"/>
            <w:tcBorders>
              <w:top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0A6DD1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70" w:type="pct"/>
            <w:tcBorders>
              <w:lef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Fácilmente soluble en agua; soluble en alcohol; poco soluble en cloruro de metileno; prácticamente insoluble en éter.</w:t>
            </w:r>
          </w:p>
        </w:tc>
        <w:tc>
          <w:tcPr>
            <w:tcW w:w="1065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28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66567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66567E" w:rsidRPr="000A6DD1" w:rsidRDefault="0066567E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70" w:type="pct"/>
            <w:tcBorders>
              <w:left w:val="double" w:sz="4" w:space="0" w:color="auto"/>
            </w:tcBorders>
          </w:tcPr>
          <w:p w:rsidR="0066567E" w:rsidRPr="003E675A" w:rsidRDefault="0066567E" w:rsidP="000A6DD1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 xml:space="preserve">El espectro </w:t>
            </w:r>
            <w:r w:rsidR="0054515A">
              <w:rPr>
                <w:rFonts w:ascii="Arial" w:hAnsi="Arial" w:cs="Arial"/>
                <w:lang w:val="es-AR"/>
              </w:rPr>
              <w:t xml:space="preserve">IR </w:t>
            </w:r>
            <w:r w:rsidRPr="003E675A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3E675A">
              <w:rPr>
                <w:rFonts w:ascii="Arial" w:hAnsi="Arial" w:cs="Arial"/>
                <w:lang w:val="es-AR"/>
              </w:rPr>
              <w:t xml:space="preserve"> estándar de referencia. </w:t>
            </w:r>
          </w:p>
        </w:tc>
        <w:tc>
          <w:tcPr>
            <w:tcW w:w="1065" w:type="pct"/>
          </w:tcPr>
          <w:p w:rsidR="0066567E" w:rsidRPr="003E675A" w:rsidRDefault="0066567E" w:rsidP="000A6DD1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Espectroscopía IR</w:t>
            </w:r>
          </w:p>
        </w:tc>
        <w:tc>
          <w:tcPr>
            <w:tcW w:w="1028" w:type="pct"/>
          </w:tcPr>
          <w:p w:rsidR="0066567E" w:rsidRPr="003E675A" w:rsidRDefault="0066567E" w:rsidP="000A6DD1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 xml:space="preserve">USP </w:t>
            </w:r>
            <w:r w:rsidR="0054515A">
              <w:rPr>
                <w:rFonts w:ascii="Arial" w:hAnsi="Arial" w:cs="Arial"/>
                <w:lang w:val="es-AR"/>
              </w:rPr>
              <w:t>30</w:t>
            </w:r>
          </w:p>
        </w:tc>
      </w:tr>
      <w:tr w:rsidR="0054515A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54515A" w:rsidRPr="000A6DD1" w:rsidRDefault="0054515A" w:rsidP="00B91CC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Identificación por TLC</w:t>
            </w:r>
          </w:p>
          <w:p w:rsidR="0054515A" w:rsidRPr="000A6DD1" w:rsidRDefault="0054515A" w:rsidP="00B91CC7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70" w:type="pct"/>
            <w:tcBorders>
              <w:left w:val="double" w:sz="4" w:space="0" w:color="auto"/>
            </w:tcBorders>
          </w:tcPr>
          <w:p w:rsidR="0054515A" w:rsidRPr="000A6DD1" w:rsidRDefault="0054515A" w:rsidP="00B91CC7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EL Rf de la mancha principal de la muestra se corresponde con el Rf de la mancha del testigo en el cromatograma obtenido.</w:t>
            </w:r>
          </w:p>
        </w:tc>
        <w:tc>
          <w:tcPr>
            <w:tcW w:w="1065" w:type="pct"/>
          </w:tcPr>
          <w:p w:rsidR="0054515A" w:rsidRPr="000A6DD1" w:rsidRDefault="0054515A" w:rsidP="00B91CC7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TLC.</w:t>
            </w:r>
          </w:p>
        </w:tc>
        <w:tc>
          <w:tcPr>
            <w:tcW w:w="1028" w:type="pct"/>
          </w:tcPr>
          <w:p w:rsidR="0054515A" w:rsidRPr="000A6DD1" w:rsidRDefault="0054515A" w:rsidP="00B91CC7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CA4D23" w:rsidRDefault="00CA4D23" w:rsidP="000A6DD1">
      <w:pPr>
        <w:keepNext/>
        <w:keepLines/>
        <w:widowControl w:val="0"/>
        <w:rPr>
          <w:rFonts w:ascii="Arial" w:hAnsi="Arial" w:cs="Arial"/>
        </w:rPr>
      </w:pPr>
    </w:p>
    <w:p w:rsidR="000A6DD1" w:rsidRDefault="000A6DD1" w:rsidP="000A6DD1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4"/>
        <w:gridCol w:w="3965"/>
        <w:gridCol w:w="2111"/>
        <w:gridCol w:w="203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0A6DD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lastRenderedPageBreak/>
              <w:t>ENSAYO</w:t>
            </w:r>
          </w:p>
        </w:tc>
        <w:tc>
          <w:tcPr>
            <w:tcW w:w="199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0A6DD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2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0A6DD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0A6DD1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0A6DD1" w:rsidRPr="003E67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A6DD1" w:rsidRPr="003E675A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2" w:type="pct"/>
          </w:tcPr>
          <w:p w:rsidR="000A6DD1" w:rsidRPr="003E675A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0A6DD1" w:rsidRPr="003E675A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  <w:tr w:rsidR="000A6DD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Intervalo de fusión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226°-231° C</w:t>
            </w:r>
          </w:p>
        </w:tc>
        <w:tc>
          <w:tcPr>
            <w:tcW w:w="1062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Método de tubo capilar.</w:t>
            </w:r>
          </w:p>
        </w:tc>
        <w:tc>
          <w:tcPr>
            <w:tcW w:w="1025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USP 30 (741)</w:t>
            </w:r>
          </w:p>
        </w:tc>
      </w:tr>
      <w:tr w:rsidR="000A6DD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A6DD1" w:rsidRPr="000A6DD1" w:rsidRDefault="0054515A" w:rsidP="000A6DD1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Entre -121,5° y -128,0° </w:t>
            </w:r>
          </w:p>
        </w:tc>
        <w:tc>
          <w:tcPr>
            <w:tcW w:w="1062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Polarimetría</w:t>
            </w:r>
          </w:p>
        </w:tc>
        <w:tc>
          <w:tcPr>
            <w:tcW w:w="1025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USP 30 (781S)</w:t>
            </w:r>
          </w:p>
        </w:tc>
      </w:tr>
      <w:tr w:rsidR="000A6DD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pH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3,0-4,5</w:t>
            </w:r>
          </w:p>
        </w:tc>
        <w:tc>
          <w:tcPr>
            <w:tcW w:w="1062" w:type="pct"/>
          </w:tcPr>
          <w:p w:rsidR="000A6DD1" w:rsidRPr="000A6DD1" w:rsidRDefault="0054515A" w:rsidP="000A6DD1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Con pHmetro</w:t>
            </w:r>
          </w:p>
        </w:tc>
        <w:tc>
          <w:tcPr>
            <w:tcW w:w="1025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USP 30 (791)</w:t>
            </w:r>
          </w:p>
        </w:tc>
      </w:tr>
      <w:tr w:rsidR="000A6DD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Pérdida por secado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≤ 0,5 %</w:t>
            </w:r>
          </w:p>
        </w:tc>
        <w:tc>
          <w:tcPr>
            <w:tcW w:w="1062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25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USP 30 (731)</w:t>
            </w:r>
          </w:p>
        </w:tc>
      </w:tr>
      <w:tr w:rsidR="000A6DD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≤ 0,1 %</w:t>
            </w:r>
          </w:p>
        </w:tc>
        <w:tc>
          <w:tcPr>
            <w:tcW w:w="1062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25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USP 30 (281)</w:t>
            </w:r>
          </w:p>
        </w:tc>
      </w:tr>
      <w:tr w:rsidR="000A6DD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Metales pesados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≤ 0,001 %</w:t>
            </w:r>
          </w:p>
        </w:tc>
        <w:tc>
          <w:tcPr>
            <w:tcW w:w="1062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25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USP 30, Método I</w:t>
            </w:r>
            <w:r w:rsidR="0054515A">
              <w:rPr>
                <w:rFonts w:ascii="Arial" w:hAnsi="Arial" w:cs="Arial"/>
                <w:lang w:val="es-AR"/>
              </w:rPr>
              <w:t xml:space="preserve"> </w:t>
            </w:r>
            <w:r w:rsidRPr="000A6DD1">
              <w:rPr>
                <w:rFonts w:ascii="Arial" w:hAnsi="Arial" w:cs="Arial"/>
                <w:lang w:val="es-AR"/>
              </w:rPr>
              <w:t>(231)</w:t>
            </w:r>
          </w:p>
        </w:tc>
      </w:tr>
      <w:tr w:rsidR="000A6DD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Pureza cromatográfica</w:t>
            </w:r>
          </w:p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≤ 0,5 % de toda impureza individual y ≤ 1,0 % la suma de impurezas totales.</w:t>
            </w:r>
          </w:p>
        </w:tc>
        <w:tc>
          <w:tcPr>
            <w:tcW w:w="1062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TLC.</w:t>
            </w:r>
          </w:p>
        </w:tc>
        <w:tc>
          <w:tcPr>
            <w:tcW w:w="1025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0A6DD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6DD1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0A6DD1" w:rsidRPr="000A6DD1" w:rsidRDefault="000A6DD1" w:rsidP="000A6DD1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 xml:space="preserve">98,5-101,0 % de </w:t>
            </w:r>
            <w:r>
              <w:rPr>
                <w:rFonts w:ascii="Arial" w:hAnsi="Arial" w:cs="Arial"/>
                <w:lang w:val="es-AR"/>
              </w:rPr>
              <w:t>Levamisol clorhidrato</w:t>
            </w:r>
            <w:r w:rsidRPr="000A6DD1">
              <w:rPr>
                <w:rFonts w:ascii="Arial" w:hAnsi="Arial" w:cs="Arial"/>
                <w:lang w:val="es-AR"/>
              </w:rPr>
              <w:t xml:space="preserve"> </w:t>
            </w:r>
            <w:r w:rsidR="0054515A">
              <w:rPr>
                <w:rFonts w:ascii="Arial" w:hAnsi="Arial" w:cs="Arial"/>
                <w:lang w:val="es-AR"/>
              </w:rPr>
              <w:t>calculado respecto a la sustancia seca</w:t>
            </w:r>
          </w:p>
        </w:tc>
        <w:tc>
          <w:tcPr>
            <w:tcW w:w="1062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25" w:type="pct"/>
          </w:tcPr>
          <w:p w:rsidR="000A6DD1" w:rsidRPr="000A6DD1" w:rsidRDefault="000A6DD1" w:rsidP="000A6DD1">
            <w:pPr>
              <w:keepNext/>
              <w:rPr>
                <w:rFonts w:ascii="Arial" w:hAnsi="Arial" w:cs="Arial"/>
                <w:lang w:val="es-AR"/>
              </w:rPr>
            </w:pPr>
            <w:r w:rsidRPr="000A6DD1">
              <w:rPr>
                <w:rFonts w:ascii="Arial" w:hAnsi="Arial" w:cs="Arial"/>
                <w:lang w:val="es-AR"/>
              </w:rPr>
              <w:t>USP 30, técnica de valoración de comprimidos, adaptada.</w:t>
            </w:r>
          </w:p>
        </w:tc>
      </w:tr>
    </w:tbl>
    <w:p w:rsidR="003E675A" w:rsidRDefault="003E675A" w:rsidP="000A6DD1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0A6DD1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0A6DD1">
      <w:pPr>
        <w:keepNext/>
        <w:keepLines/>
        <w:widowControl w:val="0"/>
      </w:pPr>
    </w:p>
    <w:p w:rsidR="00F33A4C" w:rsidRPr="00F33A4C" w:rsidRDefault="009C3169" w:rsidP="000A6DD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0A6DD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0A6DD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0A6DD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0A6DD1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5A7C06" w:rsidP="000A6DD1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0A6DD1">
      <w:pPr>
        <w:keepNext/>
        <w:keepLines/>
        <w:widowControl w:val="0"/>
      </w:pPr>
    </w:p>
    <w:p w:rsid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Unifarma S.A</w:t>
      </w:r>
    </w:p>
    <w:p w:rsid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lastRenderedPageBreak/>
        <w:t>Droguería Libertad S.A</w:t>
      </w:r>
    </w:p>
    <w:p w:rsid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Anedra S.A</w:t>
      </w:r>
    </w:p>
    <w:p w:rsid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 xml:space="preserve"> Hugo Gil &amp; asociados SRL</w:t>
      </w:r>
    </w:p>
    <w:p w:rsidR="00F33A4C" w:rsidRP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5451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1418" w:left="1134" w:header="709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D44" w:rsidRDefault="00A05D44" w:rsidP="00BE1875">
      <w:pPr>
        <w:pStyle w:val="Encabezado"/>
      </w:pPr>
      <w:r>
        <w:separator/>
      </w:r>
    </w:p>
  </w:endnote>
  <w:endnote w:type="continuationSeparator" w:id="0">
    <w:p w:rsidR="00A05D44" w:rsidRDefault="00A05D44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15C" w:rsidRDefault="001E115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1E115C">
      <w:tc>
        <w:tcPr>
          <w:tcW w:w="2268" w:type="dxa"/>
        </w:tcPr>
        <w:p w:rsidR="001E115C" w:rsidRPr="00A708F6" w:rsidRDefault="001E115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1E115C" w:rsidRPr="00A708F6" w:rsidRDefault="001E115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1E115C" w:rsidRPr="00A708F6" w:rsidRDefault="001E115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1E115C" w:rsidRPr="00A708F6" w:rsidRDefault="001E115C">
          <w:pPr>
            <w:pStyle w:val="Piedepgina"/>
            <w:rPr>
              <w:rFonts w:ascii="Arial" w:hAnsi="Arial" w:cs="Arial"/>
              <w:b/>
            </w:rPr>
          </w:pPr>
        </w:p>
      </w:tc>
    </w:tr>
    <w:tr w:rsidR="001E115C">
      <w:trPr>
        <w:trHeight w:val="1489"/>
      </w:trPr>
      <w:tc>
        <w:tcPr>
          <w:tcW w:w="2268" w:type="dxa"/>
        </w:tcPr>
        <w:p w:rsidR="001E115C" w:rsidRPr="00A708F6" w:rsidRDefault="001E115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1E115C" w:rsidRPr="00A708F6" w:rsidRDefault="001E115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1E115C" w:rsidRPr="00A708F6" w:rsidRDefault="001E115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1E115C" w:rsidRPr="00A708F6" w:rsidRDefault="001E115C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1E115C" w:rsidRDefault="001E115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15C" w:rsidRDefault="001E11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D44" w:rsidRDefault="00A05D44" w:rsidP="00BE1875">
      <w:pPr>
        <w:pStyle w:val="Encabezado"/>
      </w:pPr>
      <w:r>
        <w:separator/>
      </w:r>
    </w:p>
  </w:footnote>
  <w:footnote w:type="continuationSeparator" w:id="0">
    <w:p w:rsidR="00A05D44" w:rsidRDefault="00A05D44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15C" w:rsidRDefault="001E115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15C" w:rsidRDefault="001E115C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1E115C">
      <w:trPr>
        <w:trHeight w:val="620"/>
      </w:trPr>
      <w:tc>
        <w:tcPr>
          <w:tcW w:w="2448" w:type="dxa"/>
          <w:vMerge w:val="restart"/>
        </w:tcPr>
        <w:p w:rsidR="001E115C" w:rsidRPr="00F43ADE" w:rsidRDefault="004B1E83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E115C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1E115C" w:rsidRDefault="001E115C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1E115C" w:rsidRDefault="001E115C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1E115C" w:rsidRPr="007A22E9" w:rsidRDefault="001E115C" w:rsidP="007A22E9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LEVAMISOL, CLORHIDRATO</w:t>
          </w:r>
        </w:p>
      </w:tc>
      <w:tc>
        <w:tcPr>
          <w:tcW w:w="3293" w:type="dxa"/>
        </w:tcPr>
        <w:p w:rsidR="001E115C" w:rsidRDefault="001E115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1E115C" w:rsidRPr="000371B0" w:rsidRDefault="001E115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0371B0">
            <w:rPr>
              <w:rFonts w:ascii="Arial" w:hAnsi="Arial" w:cs="Arial"/>
              <w:b/>
            </w:rPr>
            <w:t>MP048-00</w:t>
          </w:r>
        </w:p>
      </w:tc>
    </w:tr>
    <w:tr w:rsidR="001E115C">
      <w:trPr>
        <w:trHeight w:val="620"/>
      </w:trPr>
      <w:tc>
        <w:tcPr>
          <w:tcW w:w="2448" w:type="dxa"/>
          <w:vMerge/>
        </w:tcPr>
        <w:p w:rsidR="001E115C" w:rsidRPr="00F43ADE" w:rsidRDefault="001E115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1E115C" w:rsidRPr="00F43ADE" w:rsidRDefault="001E115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1E115C" w:rsidRPr="00D30DAF" w:rsidRDefault="001E115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1E115C">
      <w:trPr>
        <w:trHeight w:val="620"/>
      </w:trPr>
      <w:tc>
        <w:tcPr>
          <w:tcW w:w="2448" w:type="dxa"/>
          <w:vMerge/>
        </w:tcPr>
        <w:p w:rsidR="001E115C" w:rsidRPr="00F43ADE" w:rsidRDefault="001E115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1E115C" w:rsidRPr="00F43ADE" w:rsidRDefault="001E115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1E115C" w:rsidRPr="000371B0" w:rsidRDefault="001E115C" w:rsidP="005C7662">
          <w:pPr>
            <w:pStyle w:val="Encabezado"/>
            <w:rPr>
              <w:rFonts w:ascii="Arial" w:hAnsi="Arial" w:cs="Arial"/>
            </w:rPr>
          </w:pPr>
          <w:r w:rsidRPr="000371B0">
            <w:rPr>
              <w:rFonts w:ascii="Arial" w:hAnsi="Arial" w:cs="Arial"/>
              <w:b/>
            </w:rPr>
            <w:t xml:space="preserve">Acción Terapéutica: </w:t>
          </w:r>
          <w:r w:rsidRPr="000371B0">
            <w:rPr>
              <w:rFonts w:ascii="Arial" w:hAnsi="Arial" w:cs="Arial"/>
            </w:rPr>
            <w:t>Antiparasitario Interno</w:t>
          </w:r>
        </w:p>
      </w:tc>
    </w:tr>
    <w:tr w:rsidR="001E115C" w:rsidRPr="00F43ADE">
      <w:trPr>
        <w:trHeight w:val="541"/>
      </w:trPr>
      <w:tc>
        <w:tcPr>
          <w:tcW w:w="2448" w:type="dxa"/>
          <w:vMerge/>
        </w:tcPr>
        <w:p w:rsidR="001E115C" w:rsidRPr="00F43ADE" w:rsidRDefault="001E115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1E115C" w:rsidRPr="00F43ADE" w:rsidRDefault="001E115C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4B1E83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4B1E83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1E115C" w:rsidRDefault="001E115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15C" w:rsidRDefault="001E11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294647F"/>
    <w:multiLevelType w:val="hybridMultilevel"/>
    <w:tmpl w:val="5260C81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2"/>
  </w:num>
  <w:num w:numId="4">
    <w:abstractNumId w:val="1"/>
  </w:num>
  <w:num w:numId="5">
    <w:abstractNumId w:val="12"/>
  </w:num>
  <w:num w:numId="6">
    <w:abstractNumId w:val="3"/>
  </w:num>
  <w:num w:numId="7">
    <w:abstractNumId w:val="5"/>
  </w:num>
  <w:num w:numId="8">
    <w:abstractNumId w:val="11"/>
  </w:num>
  <w:num w:numId="9">
    <w:abstractNumId w:val="0"/>
  </w:num>
  <w:num w:numId="10">
    <w:abstractNumId w:val="14"/>
  </w:num>
  <w:num w:numId="11">
    <w:abstractNumId w:val="17"/>
  </w:num>
  <w:num w:numId="12">
    <w:abstractNumId w:val="16"/>
  </w:num>
  <w:num w:numId="13">
    <w:abstractNumId w:val="19"/>
  </w:num>
  <w:num w:numId="14">
    <w:abstractNumId w:val="8"/>
  </w:num>
  <w:num w:numId="15">
    <w:abstractNumId w:val="9"/>
  </w:num>
  <w:num w:numId="16">
    <w:abstractNumId w:val="4"/>
  </w:num>
  <w:num w:numId="17">
    <w:abstractNumId w:val="21"/>
  </w:num>
  <w:num w:numId="18">
    <w:abstractNumId w:val="18"/>
  </w:num>
  <w:num w:numId="19">
    <w:abstractNumId w:val="7"/>
  </w:num>
  <w:num w:numId="20">
    <w:abstractNumId w:val="6"/>
  </w:num>
  <w:num w:numId="21">
    <w:abstractNumId w:val="1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371B0"/>
    <w:rsid w:val="000501F5"/>
    <w:rsid w:val="000529B0"/>
    <w:rsid w:val="0005661A"/>
    <w:rsid w:val="00080362"/>
    <w:rsid w:val="00081206"/>
    <w:rsid w:val="000A69DD"/>
    <w:rsid w:val="000A6DD1"/>
    <w:rsid w:val="000B18E8"/>
    <w:rsid w:val="000B75FA"/>
    <w:rsid w:val="000E60D0"/>
    <w:rsid w:val="00114A1B"/>
    <w:rsid w:val="00116054"/>
    <w:rsid w:val="001453AA"/>
    <w:rsid w:val="001500C3"/>
    <w:rsid w:val="00151C97"/>
    <w:rsid w:val="001A095A"/>
    <w:rsid w:val="001A0AD8"/>
    <w:rsid w:val="001A210E"/>
    <w:rsid w:val="001B6977"/>
    <w:rsid w:val="001C0EB9"/>
    <w:rsid w:val="001C27D4"/>
    <w:rsid w:val="001E115C"/>
    <w:rsid w:val="001F27B9"/>
    <w:rsid w:val="001F6804"/>
    <w:rsid w:val="00201B0E"/>
    <w:rsid w:val="002224A6"/>
    <w:rsid w:val="00251E6B"/>
    <w:rsid w:val="002554BC"/>
    <w:rsid w:val="002616D7"/>
    <w:rsid w:val="00261F32"/>
    <w:rsid w:val="00264390"/>
    <w:rsid w:val="0027389F"/>
    <w:rsid w:val="00274C01"/>
    <w:rsid w:val="002751CB"/>
    <w:rsid w:val="00282BD9"/>
    <w:rsid w:val="00283A02"/>
    <w:rsid w:val="002A719C"/>
    <w:rsid w:val="002A745B"/>
    <w:rsid w:val="002C6597"/>
    <w:rsid w:val="002D15D1"/>
    <w:rsid w:val="002E6DDB"/>
    <w:rsid w:val="002E77BE"/>
    <w:rsid w:val="00310D0E"/>
    <w:rsid w:val="0031203D"/>
    <w:rsid w:val="00315A68"/>
    <w:rsid w:val="00325392"/>
    <w:rsid w:val="00347BE4"/>
    <w:rsid w:val="003563E8"/>
    <w:rsid w:val="003714C3"/>
    <w:rsid w:val="003A5101"/>
    <w:rsid w:val="003C3899"/>
    <w:rsid w:val="003D13E7"/>
    <w:rsid w:val="003D4CB2"/>
    <w:rsid w:val="003E08DC"/>
    <w:rsid w:val="003E326B"/>
    <w:rsid w:val="003E675A"/>
    <w:rsid w:val="003E6836"/>
    <w:rsid w:val="00407F83"/>
    <w:rsid w:val="004646D8"/>
    <w:rsid w:val="00490624"/>
    <w:rsid w:val="004941CD"/>
    <w:rsid w:val="00497568"/>
    <w:rsid w:val="004A1A85"/>
    <w:rsid w:val="004B1E83"/>
    <w:rsid w:val="004C5A90"/>
    <w:rsid w:val="004F1413"/>
    <w:rsid w:val="004F1A24"/>
    <w:rsid w:val="004F3C37"/>
    <w:rsid w:val="005110D5"/>
    <w:rsid w:val="0051553B"/>
    <w:rsid w:val="00521605"/>
    <w:rsid w:val="00525D72"/>
    <w:rsid w:val="0053000C"/>
    <w:rsid w:val="00532B65"/>
    <w:rsid w:val="00532EBE"/>
    <w:rsid w:val="0054268D"/>
    <w:rsid w:val="0054515A"/>
    <w:rsid w:val="0055146E"/>
    <w:rsid w:val="005517E0"/>
    <w:rsid w:val="00555290"/>
    <w:rsid w:val="005571AA"/>
    <w:rsid w:val="00565178"/>
    <w:rsid w:val="005807F4"/>
    <w:rsid w:val="00581EAB"/>
    <w:rsid w:val="005A61F1"/>
    <w:rsid w:val="005A7C06"/>
    <w:rsid w:val="005B2279"/>
    <w:rsid w:val="005B2D4E"/>
    <w:rsid w:val="005C7662"/>
    <w:rsid w:val="005D3FBE"/>
    <w:rsid w:val="005D5BC4"/>
    <w:rsid w:val="005D6123"/>
    <w:rsid w:val="005F29A3"/>
    <w:rsid w:val="005F71AF"/>
    <w:rsid w:val="00605CEC"/>
    <w:rsid w:val="0061097F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E3EDC"/>
    <w:rsid w:val="006E6FC5"/>
    <w:rsid w:val="00710B8D"/>
    <w:rsid w:val="00717681"/>
    <w:rsid w:val="007177F3"/>
    <w:rsid w:val="00721041"/>
    <w:rsid w:val="00725F44"/>
    <w:rsid w:val="007465C6"/>
    <w:rsid w:val="00757A3C"/>
    <w:rsid w:val="007656C7"/>
    <w:rsid w:val="00767BBA"/>
    <w:rsid w:val="00775DBF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05D44"/>
    <w:rsid w:val="00A154A8"/>
    <w:rsid w:val="00A158A9"/>
    <w:rsid w:val="00A221BD"/>
    <w:rsid w:val="00A2693B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91CC7"/>
    <w:rsid w:val="00BA07C2"/>
    <w:rsid w:val="00BA3A33"/>
    <w:rsid w:val="00BB5B80"/>
    <w:rsid w:val="00BC0E85"/>
    <w:rsid w:val="00BC3EF0"/>
    <w:rsid w:val="00BE0BBA"/>
    <w:rsid w:val="00BE1875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7235"/>
    <w:rsid w:val="00C77C86"/>
    <w:rsid w:val="00C915C1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627D4"/>
    <w:rsid w:val="00D73137"/>
    <w:rsid w:val="00D760EE"/>
    <w:rsid w:val="00D8797E"/>
    <w:rsid w:val="00D930F0"/>
    <w:rsid w:val="00DB29B5"/>
    <w:rsid w:val="00DB6AC3"/>
    <w:rsid w:val="00DC23DF"/>
    <w:rsid w:val="00DF462F"/>
    <w:rsid w:val="00DF68CC"/>
    <w:rsid w:val="00E01537"/>
    <w:rsid w:val="00E25F2B"/>
    <w:rsid w:val="00E455D6"/>
    <w:rsid w:val="00E731D8"/>
    <w:rsid w:val="00E749F9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1982C6A-265A-4B60-9AC8-78B3C1DC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2008-05-21T16:31:00Z</cp:lastPrinted>
  <dcterms:created xsi:type="dcterms:W3CDTF">2026-07-16T19:54:00Z</dcterms:created>
  <dcterms:modified xsi:type="dcterms:W3CDTF">2026-07-16T19:54:00Z</dcterms:modified>
</cp:coreProperties>
</file>