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0D4DEC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0D4DEC">
      <w:pPr>
        <w:keepNext/>
      </w:pPr>
    </w:p>
    <w:p w:rsidR="000D4DEC" w:rsidRPr="000D4DEC" w:rsidRDefault="000D4DEC" w:rsidP="000D4DEC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Sinonimia:</w:t>
      </w:r>
      <w:r w:rsidRPr="000D4DEC">
        <w:rPr>
          <w:rFonts w:ascii="Arial" w:hAnsi="Arial" w:cs="Arial"/>
          <w:lang w:val="es-AR"/>
        </w:rPr>
        <w:t xml:space="preserve"> 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lang w:val="es-AR"/>
        </w:rPr>
        <w:t>FNA VI ed: Parafina líquida; petrolato líquido.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lang w:val="es-AR"/>
        </w:rPr>
        <w:t>USP 30: Mineral oil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lang w:val="es-AR"/>
        </w:rPr>
        <w:t>USP 30, español: Aceite mineral.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GB"/>
        </w:rPr>
      </w:pPr>
      <w:r w:rsidRPr="000D4DEC">
        <w:rPr>
          <w:rFonts w:ascii="Arial" w:hAnsi="Arial" w:cs="Arial"/>
          <w:lang w:val="en-GB"/>
        </w:rPr>
        <w:t>BP: Liquid paraffin.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GB"/>
        </w:rPr>
      </w:pPr>
      <w:r w:rsidRPr="000D4DEC">
        <w:rPr>
          <w:rFonts w:ascii="Arial" w:hAnsi="Arial" w:cs="Arial"/>
          <w:lang w:val="en-GB"/>
        </w:rPr>
        <w:t>JP: Liquid paraffin.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GB"/>
        </w:rPr>
      </w:pPr>
      <w:r w:rsidRPr="000D4DEC">
        <w:rPr>
          <w:rFonts w:ascii="Arial" w:hAnsi="Arial" w:cs="Arial"/>
          <w:lang w:val="en-GB"/>
        </w:rPr>
        <w:t>Ph. Eur: Paraffinum liquidum.</w:t>
      </w:r>
    </w:p>
    <w:p w:rsidR="000D4DEC" w:rsidRPr="000D4DEC" w:rsidRDefault="000D4DEC" w:rsidP="000D4DEC">
      <w:pPr>
        <w:keepNext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US"/>
        </w:rPr>
      </w:pPr>
      <w:r w:rsidRPr="000D4DEC">
        <w:rPr>
          <w:rFonts w:ascii="Arial" w:hAnsi="Arial" w:cs="Arial"/>
          <w:lang w:val="en-US"/>
        </w:rPr>
        <w:t>Handbook of pharmaceutical excipients 3</w:t>
      </w:r>
      <w:r w:rsidRPr="000D4DEC">
        <w:rPr>
          <w:rFonts w:ascii="Arial" w:hAnsi="Arial" w:cs="Arial"/>
          <w:sz w:val="20"/>
          <w:szCs w:val="20"/>
          <w:lang w:val="en-US"/>
        </w:rPr>
        <w:t>rd</w:t>
      </w:r>
      <w:r w:rsidRPr="000D4DEC">
        <w:rPr>
          <w:rFonts w:ascii="Arial" w:hAnsi="Arial" w:cs="Arial"/>
          <w:lang w:val="en-US"/>
        </w:rPr>
        <w:t xml:space="preserve"> ed. (2000); Mineral oil; heavy mineral oil; liquid petrolatum; Nujol; paraffin oil; white mineral oil.</w:t>
      </w:r>
    </w:p>
    <w:p w:rsidR="000D4DEC" w:rsidRPr="000D4DEC" w:rsidRDefault="000D4DEC" w:rsidP="000D4DEC">
      <w:pPr>
        <w:keepNext/>
        <w:tabs>
          <w:tab w:val="num" w:pos="1080"/>
        </w:tabs>
        <w:ind w:left="1080" w:hanging="360"/>
        <w:rPr>
          <w:rFonts w:ascii="Arial" w:hAnsi="Arial" w:cs="Arial"/>
          <w:lang w:val="en-US"/>
        </w:rPr>
      </w:pPr>
    </w:p>
    <w:p w:rsidR="000D4DEC" w:rsidRPr="00957727" w:rsidRDefault="000D4DEC" w:rsidP="000D4DEC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CAS N°:</w:t>
      </w:r>
      <w:r w:rsidRPr="000D4DEC">
        <w:rPr>
          <w:rFonts w:ascii="Arial" w:hAnsi="Arial" w:cs="Arial"/>
          <w:lang w:val="es-AR"/>
        </w:rPr>
        <w:t xml:space="preserve"> N/A</w:t>
      </w:r>
    </w:p>
    <w:p w:rsidR="000D4DEC" w:rsidRPr="000D4DEC" w:rsidRDefault="000D4DEC" w:rsidP="000D4DEC">
      <w:pPr>
        <w:keepNext/>
        <w:numPr>
          <w:ilvl w:val="0"/>
          <w:numId w:val="46"/>
        </w:numPr>
        <w:rPr>
          <w:rFonts w:ascii="Arial" w:hAnsi="Arial" w:cs="Arial"/>
          <w:u w:val="single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Nombre químico:</w:t>
      </w:r>
    </w:p>
    <w:p w:rsidR="000D4DEC" w:rsidRPr="000D4DEC" w:rsidRDefault="000D4DEC" w:rsidP="00957727">
      <w:pPr>
        <w:keepNext/>
        <w:numPr>
          <w:ilvl w:val="0"/>
          <w:numId w:val="48"/>
        </w:numPr>
        <w:tabs>
          <w:tab w:val="left" w:pos="1080"/>
        </w:tabs>
        <w:ind w:firstLine="0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lang w:val="es-AR"/>
        </w:rPr>
        <w:t>Según USP 30: N/A</w:t>
      </w:r>
    </w:p>
    <w:p w:rsidR="000D4DEC" w:rsidRPr="000D4DEC" w:rsidRDefault="000D4DEC" w:rsidP="000D4DEC">
      <w:pPr>
        <w:keepNext/>
        <w:numPr>
          <w:ilvl w:val="0"/>
          <w:numId w:val="48"/>
        </w:numPr>
        <w:tabs>
          <w:tab w:val="left" w:pos="1080"/>
        </w:tabs>
        <w:ind w:firstLine="0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lang w:val="es-AR"/>
        </w:rPr>
        <w:t>Según Evr. Ph. 4</w:t>
      </w:r>
      <w:r w:rsidRPr="000D4DEC">
        <w:rPr>
          <w:rFonts w:ascii="Arial" w:hAnsi="Arial" w:cs="Arial"/>
          <w:sz w:val="20"/>
          <w:szCs w:val="20"/>
          <w:lang w:val="es-AR"/>
        </w:rPr>
        <w:t xml:space="preserve">ª </w:t>
      </w:r>
      <w:r w:rsidRPr="000D4DEC">
        <w:rPr>
          <w:rFonts w:ascii="Arial" w:hAnsi="Arial" w:cs="Arial"/>
          <w:lang w:val="es-AR"/>
        </w:rPr>
        <w:t>ed: N/A</w:t>
      </w:r>
    </w:p>
    <w:p w:rsidR="000D4DEC" w:rsidRPr="000D4DEC" w:rsidRDefault="000D4DEC" w:rsidP="000D4DEC">
      <w:pPr>
        <w:keepNext/>
        <w:tabs>
          <w:tab w:val="left" w:pos="1080"/>
        </w:tabs>
        <w:rPr>
          <w:rFonts w:ascii="Arial" w:hAnsi="Arial" w:cs="Arial"/>
          <w:lang w:val="es-AR"/>
        </w:rPr>
      </w:pPr>
    </w:p>
    <w:p w:rsidR="000D4DEC" w:rsidRPr="000D4DEC" w:rsidRDefault="000D4DEC" w:rsidP="000D4DEC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Fórmula molecular</w:t>
      </w:r>
      <w:r w:rsidRPr="000D4DEC">
        <w:rPr>
          <w:rFonts w:ascii="Arial" w:hAnsi="Arial" w:cs="Arial"/>
          <w:lang w:val="es-AR"/>
        </w:rPr>
        <w:t xml:space="preserve"> (FM): N/A</w:t>
      </w:r>
    </w:p>
    <w:p w:rsidR="000D4DEC" w:rsidRPr="000D4DEC" w:rsidRDefault="000D4DEC" w:rsidP="000D4DEC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Peso molecular (PM):</w:t>
      </w:r>
      <w:r w:rsidRPr="000D4DEC">
        <w:rPr>
          <w:rFonts w:ascii="Arial" w:hAnsi="Arial" w:cs="Arial"/>
          <w:lang w:val="es-AR"/>
        </w:rPr>
        <w:t xml:space="preserve"> N/A</w:t>
      </w:r>
    </w:p>
    <w:p w:rsidR="009B1B87" w:rsidRDefault="00957727" w:rsidP="000D4DEC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Envasado y almacenamiento</w:t>
      </w:r>
      <w:r w:rsidRPr="009B1B87">
        <w:rPr>
          <w:rFonts w:ascii="Arial" w:hAnsi="Arial" w:cs="Arial"/>
          <w:lang w:val="es-AR"/>
        </w:rPr>
        <w:t>: Cons</w:t>
      </w:r>
      <w:r w:rsidR="008565FE">
        <w:rPr>
          <w:rFonts w:ascii="Arial" w:hAnsi="Arial" w:cs="Arial"/>
          <w:lang w:val="es-AR"/>
        </w:rPr>
        <w:t>ervar en envases impermeables.</w:t>
      </w:r>
    </w:p>
    <w:p w:rsidR="008565FE" w:rsidRPr="009B1B87" w:rsidRDefault="008565FE" w:rsidP="008565FE">
      <w:pPr>
        <w:keepNext/>
        <w:ind w:left="360"/>
        <w:rPr>
          <w:rFonts w:ascii="Arial" w:hAnsi="Arial" w:cs="Arial"/>
          <w:lang w:val="es-AR"/>
        </w:rPr>
      </w:pPr>
    </w:p>
    <w:p w:rsidR="00325392" w:rsidRDefault="00F92AA5" w:rsidP="000D4DEC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0D4DEC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1"/>
        <w:gridCol w:w="2133"/>
        <w:gridCol w:w="2052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D4DE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D4DEC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Aspecto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Líquido aceitoso incoloro, transparente, libre o prácticamente libre de fluorescencia.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Frío es inodoro e insípido y desarrolla no más que un olor leve a petróleo cuando se calienta.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0D4DEC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USP 30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0D4DE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 xml:space="preserve">Insoluble en agua y en alcohol; soluble en aceites volátiles. Miscible con la mayoría de los aceites fijos pero no </w:t>
            </w:r>
            <w:r w:rsidR="00111630">
              <w:rPr>
                <w:rFonts w:ascii="Arial" w:hAnsi="Arial" w:cs="Arial"/>
                <w:lang w:val="es-AR"/>
              </w:rPr>
              <w:t xml:space="preserve">con </w:t>
            </w:r>
            <w:r w:rsidRPr="000D4DEC">
              <w:rPr>
                <w:rFonts w:ascii="Arial" w:hAnsi="Arial" w:cs="Arial"/>
                <w:lang w:val="es-AR"/>
              </w:rPr>
              <w:t>aceite de ricino.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E96E0E" w:rsidRDefault="00E96E0E" w:rsidP="000D4DEC">
      <w:pPr>
        <w:keepNext/>
        <w:keepLines/>
        <w:widowControl w:val="0"/>
        <w:rPr>
          <w:rFonts w:ascii="Arial" w:hAnsi="Arial" w:cs="Arial"/>
        </w:rPr>
      </w:pPr>
    </w:p>
    <w:p w:rsidR="00111630" w:rsidRDefault="00111630" w:rsidP="000D4DEC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3"/>
        <w:gridCol w:w="2168"/>
        <w:gridCol w:w="1996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8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D4D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D4DE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D4DEC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4B3F45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4B3F45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111630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0D4DEC" w:rsidRPr="004B3F45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0D4DEC" w:rsidRPr="004B3F45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Espectroscopia IR</w:t>
            </w:r>
          </w:p>
        </w:tc>
        <w:tc>
          <w:tcPr>
            <w:tcW w:w="1015" w:type="pct"/>
          </w:tcPr>
          <w:p w:rsidR="000D4DEC" w:rsidRPr="004B3F45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0D4DEC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Peso específico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0,845-0,905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Con picnómetro.</w:t>
            </w:r>
          </w:p>
        </w:tc>
        <w:tc>
          <w:tcPr>
            <w:tcW w:w="1015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USP 30 (841)</w:t>
            </w:r>
          </w:p>
        </w:tc>
      </w:tr>
      <w:tr w:rsidR="000D4DE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Viscosidad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 xml:space="preserve">Tiene una viscosidad cinemática ≥ 34,5 </w:t>
            </w:r>
            <w:r w:rsidR="00957727">
              <w:rPr>
                <w:rFonts w:ascii="Arial" w:hAnsi="Arial" w:cs="Arial"/>
                <w:lang w:val="es-AR"/>
              </w:rPr>
              <w:t>cst</w:t>
            </w:r>
            <w:r w:rsidRPr="000D4DEC">
              <w:rPr>
                <w:rFonts w:ascii="Arial" w:hAnsi="Arial" w:cs="Arial"/>
                <w:lang w:val="es-AR"/>
              </w:rPr>
              <w:t xml:space="preserve"> a 40,0° C.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Con viscosímetro.</w:t>
            </w:r>
          </w:p>
        </w:tc>
        <w:tc>
          <w:tcPr>
            <w:tcW w:w="1015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USP 30 (911)</w:t>
            </w:r>
          </w:p>
        </w:tc>
      </w:tr>
      <w:tr w:rsidR="000D4DE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Ácidos y álcalis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Neutra al papel de tornasol.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Extracción y observación visual.</w:t>
            </w:r>
          </w:p>
        </w:tc>
        <w:tc>
          <w:tcPr>
            <w:tcW w:w="1015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FNA VI</w:t>
            </w:r>
          </w:p>
        </w:tc>
      </w:tr>
      <w:tr w:rsidR="000D4DE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Azufre y sulfuros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NO deberá producirse oscurecimiento del líquido.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Reacción química.</w:t>
            </w:r>
          </w:p>
        </w:tc>
        <w:tc>
          <w:tcPr>
            <w:tcW w:w="1015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FNA VI</w:t>
            </w:r>
          </w:p>
        </w:tc>
      </w:tr>
      <w:tr w:rsidR="00A627F6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Sustancias fácilmente carbonizables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Color ≤ estándar.</w:t>
            </w:r>
          </w:p>
        </w:tc>
        <w:tc>
          <w:tcPr>
            <w:tcW w:w="1068" w:type="pct"/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Reacción química.</w:t>
            </w:r>
          </w:p>
        </w:tc>
        <w:tc>
          <w:tcPr>
            <w:tcW w:w="1015" w:type="pct"/>
          </w:tcPr>
          <w:p w:rsidR="00A627F6" w:rsidRPr="000D4DEC" w:rsidRDefault="00A627F6" w:rsidP="00095E6B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FNA VI</w:t>
            </w:r>
          </w:p>
        </w:tc>
      </w:tr>
      <w:tr w:rsidR="00A627F6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Parafina sólida</w:t>
            </w:r>
          </w:p>
          <w:p w:rsidR="00A627F6" w:rsidRPr="000D4DEC" w:rsidRDefault="00A627F6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Deberá presentar ligera opalescencia.</w:t>
            </w:r>
          </w:p>
        </w:tc>
        <w:tc>
          <w:tcPr>
            <w:tcW w:w="1068" w:type="pct"/>
          </w:tcPr>
          <w:p w:rsidR="00A627F6" w:rsidRPr="000D4DEC" w:rsidRDefault="00A627F6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15" w:type="pct"/>
          </w:tcPr>
          <w:p w:rsidR="00A627F6" w:rsidRPr="000D4DEC" w:rsidRDefault="00A627F6" w:rsidP="00095E6B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FNA VI</w:t>
            </w:r>
          </w:p>
        </w:tc>
      </w:tr>
      <w:tr w:rsidR="000D4DE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D4DEC">
              <w:rPr>
                <w:rFonts w:ascii="Arial" w:hAnsi="Arial" w:cs="Arial"/>
                <w:b/>
                <w:lang w:val="es-AR"/>
              </w:rPr>
              <w:t>Límite de compuestos polinucleares</w:t>
            </w:r>
          </w:p>
          <w:p w:rsidR="000D4DEC" w:rsidRPr="000D4DEC" w:rsidRDefault="000D4DEC" w:rsidP="000D4DEC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 xml:space="preserve">La absorbancia a cualquier longitud de onda en el intervalo especificado ≤ 1/3 de la absorbancia, a </w:t>
            </w:r>
            <w:smartTag w:uri="urn:schemas-microsoft-com:office:smarttags" w:element="metricconverter">
              <w:smartTagPr>
                <w:attr w:name="ProductID" w:val="275 mm"/>
              </w:smartTagPr>
              <w:r w:rsidRPr="000D4DEC">
                <w:rPr>
                  <w:rFonts w:ascii="Arial" w:hAnsi="Arial" w:cs="Arial"/>
                  <w:lang w:val="es-AR"/>
                </w:rPr>
                <w:t>275 mm</w:t>
              </w:r>
            </w:smartTag>
            <w:r w:rsidRPr="000D4DEC">
              <w:rPr>
                <w:rFonts w:ascii="Arial" w:hAnsi="Arial" w:cs="Arial"/>
                <w:lang w:val="es-AR"/>
              </w:rPr>
              <w:t>, del estándar.</w:t>
            </w:r>
          </w:p>
        </w:tc>
        <w:tc>
          <w:tcPr>
            <w:tcW w:w="1068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 w:rsidRPr="000D4DEC">
              <w:rPr>
                <w:rFonts w:ascii="Arial" w:hAnsi="Arial" w:cs="Arial"/>
                <w:lang w:val="es-AR"/>
              </w:rPr>
              <w:t>Espectrofotometría UV</w:t>
            </w:r>
          </w:p>
        </w:tc>
        <w:tc>
          <w:tcPr>
            <w:tcW w:w="1015" w:type="pct"/>
          </w:tcPr>
          <w:p w:rsidR="000D4DEC" w:rsidRPr="000D4DEC" w:rsidRDefault="000D4DEC" w:rsidP="000D4DEC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</w:t>
            </w:r>
            <w:r w:rsidRPr="000D4DEC">
              <w:rPr>
                <w:rFonts w:ascii="Arial" w:hAnsi="Arial" w:cs="Arial"/>
                <w:lang w:val="es-AR"/>
              </w:rPr>
              <w:t>SP 30</w:t>
            </w:r>
          </w:p>
        </w:tc>
      </w:tr>
    </w:tbl>
    <w:p w:rsidR="003E675A" w:rsidRDefault="003E675A" w:rsidP="000D4DEC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0D4DE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0D4DEC">
      <w:pPr>
        <w:keepNext/>
        <w:keepLines/>
        <w:widowControl w:val="0"/>
      </w:pPr>
    </w:p>
    <w:p w:rsidR="00F33A4C" w:rsidRPr="00F33A4C" w:rsidRDefault="009C3169" w:rsidP="000D4DE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0D4DE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0D4DE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0D4DE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0D4DEC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1071D" w:rsidP="000D4DE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0D4DEC">
      <w:pPr>
        <w:keepNext/>
        <w:keepLines/>
        <w:widowControl w:val="0"/>
      </w:pPr>
    </w:p>
    <w:p w:rsidR="00A627F6" w:rsidRDefault="00A627F6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Vaseplus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Unifarma S.A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0D4DE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4CF" w:rsidRDefault="002064CF" w:rsidP="00BE1875">
      <w:pPr>
        <w:pStyle w:val="Encabezado"/>
      </w:pPr>
      <w:r>
        <w:separator/>
      </w:r>
    </w:p>
  </w:endnote>
  <w:endnote w:type="continuationSeparator" w:id="0">
    <w:p w:rsidR="002064CF" w:rsidRDefault="002064CF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7B04C2">
      <w:tc>
        <w:tcPr>
          <w:tcW w:w="2268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</w:p>
      </w:tc>
    </w:tr>
    <w:tr w:rsidR="007B04C2">
      <w:trPr>
        <w:trHeight w:val="1489"/>
      </w:trPr>
      <w:tc>
        <w:tcPr>
          <w:tcW w:w="2268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7B04C2" w:rsidRPr="00A708F6" w:rsidRDefault="007B04C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7B04C2" w:rsidRDefault="007B04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4CF" w:rsidRDefault="002064CF" w:rsidP="00BE1875">
      <w:pPr>
        <w:pStyle w:val="Encabezado"/>
      </w:pPr>
      <w:r>
        <w:separator/>
      </w:r>
    </w:p>
  </w:footnote>
  <w:footnote w:type="continuationSeparator" w:id="0">
    <w:p w:rsidR="002064CF" w:rsidRDefault="002064CF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4C2" w:rsidRDefault="007B04C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7B04C2">
      <w:trPr>
        <w:trHeight w:val="620"/>
      </w:trPr>
      <w:tc>
        <w:tcPr>
          <w:tcW w:w="2448" w:type="dxa"/>
          <w:vMerge w:val="restart"/>
        </w:tcPr>
        <w:p w:rsidR="007B04C2" w:rsidRPr="00F43ADE" w:rsidRDefault="003C5528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B04C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7B04C2" w:rsidRDefault="007B04C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7B04C2" w:rsidRDefault="007B04C2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B04C2" w:rsidRPr="007A22E9" w:rsidRDefault="007B04C2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VASELINA LÍQUIDA</w:t>
          </w:r>
        </w:p>
      </w:tc>
      <w:tc>
        <w:tcPr>
          <w:tcW w:w="3293" w:type="dxa"/>
        </w:tcPr>
        <w:p w:rsidR="007B04C2" w:rsidRDefault="007B04C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7B04C2" w:rsidRPr="00957727" w:rsidRDefault="007B04C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MP078-00</w:t>
          </w:r>
        </w:p>
      </w:tc>
    </w:tr>
    <w:tr w:rsidR="007B04C2">
      <w:trPr>
        <w:trHeight w:val="620"/>
      </w:trPr>
      <w:tc>
        <w:tcPr>
          <w:tcW w:w="2448" w:type="dxa"/>
          <w:vMerge/>
        </w:tcPr>
        <w:p w:rsidR="007B04C2" w:rsidRPr="00F43ADE" w:rsidRDefault="007B04C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04C2" w:rsidRPr="00F43ADE" w:rsidRDefault="007B04C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7B04C2" w:rsidRPr="00D30DAF" w:rsidRDefault="007B04C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7B04C2">
      <w:trPr>
        <w:trHeight w:val="620"/>
      </w:trPr>
      <w:tc>
        <w:tcPr>
          <w:tcW w:w="2448" w:type="dxa"/>
          <w:vMerge/>
        </w:tcPr>
        <w:p w:rsidR="007B04C2" w:rsidRPr="00F43ADE" w:rsidRDefault="007B04C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04C2" w:rsidRPr="00F43ADE" w:rsidRDefault="007B04C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B04C2" w:rsidRPr="00957727" w:rsidRDefault="007B04C2" w:rsidP="005C7662">
          <w:pPr>
            <w:pStyle w:val="Encabezado"/>
            <w:rPr>
              <w:rFonts w:ascii="Arial" w:hAnsi="Arial" w:cs="Arial"/>
            </w:rPr>
          </w:pPr>
          <w:r w:rsidRPr="00957727">
            <w:rPr>
              <w:rFonts w:ascii="Arial" w:hAnsi="Arial" w:cs="Arial"/>
              <w:b/>
            </w:rPr>
            <w:t xml:space="preserve">Acción Terapéutica: </w:t>
          </w:r>
          <w:r>
            <w:rPr>
              <w:rFonts w:ascii="Arial" w:hAnsi="Arial" w:cs="Arial"/>
            </w:rPr>
            <w:t>Lubricante. Laxante.</w:t>
          </w:r>
        </w:p>
      </w:tc>
    </w:tr>
    <w:tr w:rsidR="007B04C2" w:rsidRPr="00F43ADE">
      <w:trPr>
        <w:trHeight w:val="541"/>
      </w:trPr>
      <w:tc>
        <w:tcPr>
          <w:tcW w:w="2448" w:type="dxa"/>
          <w:vMerge/>
        </w:tcPr>
        <w:p w:rsidR="007B04C2" w:rsidRPr="00F43ADE" w:rsidRDefault="007B04C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7B04C2" w:rsidRPr="00F43ADE" w:rsidRDefault="007B04C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3C5528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3C5528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7B04C2" w:rsidRDefault="007B04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32A7B"/>
    <w:multiLevelType w:val="hybridMultilevel"/>
    <w:tmpl w:val="DA94EE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F40454D"/>
    <w:multiLevelType w:val="hybridMultilevel"/>
    <w:tmpl w:val="B8064E6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DA550F0"/>
    <w:multiLevelType w:val="hybridMultilevel"/>
    <w:tmpl w:val="BF0479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7"/>
  </w:num>
  <w:num w:numId="4">
    <w:abstractNumId w:val="2"/>
  </w:num>
  <w:num w:numId="5">
    <w:abstractNumId w:val="21"/>
  </w:num>
  <w:num w:numId="6">
    <w:abstractNumId w:val="8"/>
  </w:num>
  <w:num w:numId="7">
    <w:abstractNumId w:val="11"/>
  </w:num>
  <w:num w:numId="8">
    <w:abstractNumId w:val="20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41"/>
  </w:num>
  <w:num w:numId="14">
    <w:abstractNumId w:val="14"/>
  </w:num>
  <w:num w:numId="15">
    <w:abstractNumId w:val="16"/>
  </w:num>
  <w:num w:numId="16">
    <w:abstractNumId w:val="9"/>
  </w:num>
  <w:num w:numId="17">
    <w:abstractNumId w:val="45"/>
  </w:num>
  <w:num w:numId="18">
    <w:abstractNumId w:val="39"/>
  </w:num>
  <w:num w:numId="19">
    <w:abstractNumId w:val="13"/>
  </w:num>
  <w:num w:numId="20">
    <w:abstractNumId w:val="12"/>
  </w:num>
  <w:num w:numId="21">
    <w:abstractNumId w:val="18"/>
  </w:num>
  <w:num w:numId="22">
    <w:abstractNumId w:val="42"/>
  </w:num>
  <w:num w:numId="23">
    <w:abstractNumId w:val="33"/>
  </w:num>
  <w:num w:numId="24">
    <w:abstractNumId w:val="17"/>
  </w:num>
  <w:num w:numId="25">
    <w:abstractNumId w:val="4"/>
  </w:num>
  <w:num w:numId="26">
    <w:abstractNumId w:val="40"/>
  </w:num>
  <w:num w:numId="27">
    <w:abstractNumId w:val="35"/>
  </w:num>
  <w:num w:numId="28">
    <w:abstractNumId w:val="36"/>
  </w:num>
  <w:num w:numId="29">
    <w:abstractNumId w:val="28"/>
  </w:num>
  <w:num w:numId="30">
    <w:abstractNumId w:val="44"/>
  </w:num>
  <w:num w:numId="31">
    <w:abstractNumId w:val="19"/>
  </w:num>
  <w:num w:numId="32">
    <w:abstractNumId w:val="25"/>
  </w:num>
  <w:num w:numId="33">
    <w:abstractNumId w:val="6"/>
  </w:num>
  <w:num w:numId="34">
    <w:abstractNumId w:val="43"/>
  </w:num>
  <w:num w:numId="35">
    <w:abstractNumId w:val="46"/>
  </w:num>
  <w:num w:numId="36">
    <w:abstractNumId w:val="47"/>
  </w:num>
  <w:num w:numId="37">
    <w:abstractNumId w:val="15"/>
  </w:num>
  <w:num w:numId="38">
    <w:abstractNumId w:val="34"/>
  </w:num>
  <w:num w:numId="39">
    <w:abstractNumId w:val="3"/>
  </w:num>
  <w:num w:numId="40">
    <w:abstractNumId w:val="29"/>
  </w:num>
  <w:num w:numId="41">
    <w:abstractNumId w:val="31"/>
  </w:num>
  <w:num w:numId="42">
    <w:abstractNumId w:val="37"/>
  </w:num>
  <w:num w:numId="43">
    <w:abstractNumId w:val="32"/>
  </w:num>
  <w:num w:numId="44">
    <w:abstractNumId w:val="30"/>
  </w:num>
  <w:num w:numId="45">
    <w:abstractNumId w:val="1"/>
  </w:num>
  <w:num w:numId="46">
    <w:abstractNumId w:val="10"/>
  </w:num>
  <w:num w:numId="47">
    <w:abstractNumId w:val="5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071D"/>
    <w:rsid w:val="000154C9"/>
    <w:rsid w:val="00025EE7"/>
    <w:rsid w:val="000349A2"/>
    <w:rsid w:val="000501F5"/>
    <w:rsid w:val="000529B0"/>
    <w:rsid w:val="0005661A"/>
    <w:rsid w:val="00080362"/>
    <w:rsid w:val="00081206"/>
    <w:rsid w:val="00095E6B"/>
    <w:rsid w:val="000A1920"/>
    <w:rsid w:val="000A69DD"/>
    <w:rsid w:val="000A6DD1"/>
    <w:rsid w:val="000B18E8"/>
    <w:rsid w:val="000D4DEC"/>
    <w:rsid w:val="000E60D0"/>
    <w:rsid w:val="00111630"/>
    <w:rsid w:val="001143FB"/>
    <w:rsid w:val="00114A1B"/>
    <w:rsid w:val="00116054"/>
    <w:rsid w:val="00137B35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050B7"/>
    <w:rsid w:val="002064CF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83CFA"/>
    <w:rsid w:val="00294815"/>
    <w:rsid w:val="002A719C"/>
    <w:rsid w:val="002A745B"/>
    <w:rsid w:val="002C6597"/>
    <w:rsid w:val="002D15D1"/>
    <w:rsid w:val="002D69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C5528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25728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D1B3C"/>
    <w:rsid w:val="006E3EDC"/>
    <w:rsid w:val="006E6FC5"/>
    <w:rsid w:val="00710B8D"/>
    <w:rsid w:val="00717681"/>
    <w:rsid w:val="007177F3"/>
    <w:rsid w:val="00721041"/>
    <w:rsid w:val="007465C6"/>
    <w:rsid w:val="00747164"/>
    <w:rsid w:val="00757A3C"/>
    <w:rsid w:val="007656C7"/>
    <w:rsid w:val="00767BBA"/>
    <w:rsid w:val="00775DBF"/>
    <w:rsid w:val="007A22E9"/>
    <w:rsid w:val="007A530E"/>
    <w:rsid w:val="007B04C2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1C13"/>
    <w:rsid w:val="008041A8"/>
    <w:rsid w:val="00815A59"/>
    <w:rsid w:val="008327B6"/>
    <w:rsid w:val="00841529"/>
    <w:rsid w:val="0084270E"/>
    <w:rsid w:val="00842BB3"/>
    <w:rsid w:val="0084552A"/>
    <w:rsid w:val="0085507F"/>
    <w:rsid w:val="008565FE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2AA3"/>
    <w:rsid w:val="00903090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57727"/>
    <w:rsid w:val="00991541"/>
    <w:rsid w:val="00996867"/>
    <w:rsid w:val="009A3D4E"/>
    <w:rsid w:val="009A4C72"/>
    <w:rsid w:val="009A6911"/>
    <w:rsid w:val="009A6CEB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27F6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65A3C"/>
    <w:rsid w:val="00BA07C2"/>
    <w:rsid w:val="00BA3A33"/>
    <w:rsid w:val="00BB5B80"/>
    <w:rsid w:val="00BC0E85"/>
    <w:rsid w:val="00BC3EF0"/>
    <w:rsid w:val="00BE0BBA"/>
    <w:rsid w:val="00BE1875"/>
    <w:rsid w:val="00BE359B"/>
    <w:rsid w:val="00BE530C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54062"/>
    <w:rsid w:val="00C77235"/>
    <w:rsid w:val="00C77C86"/>
    <w:rsid w:val="00C84EB2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F3DCC"/>
    <w:rsid w:val="00DF462F"/>
    <w:rsid w:val="00DF68CC"/>
    <w:rsid w:val="00E01537"/>
    <w:rsid w:val="00E25F2B"/>
    <w:rsid w:val="00E455D6"/>
    <w:rsid w:val="00E749F9"/>
    <w:rsid w:val="00E91EC7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4761C53-495C-40DA-B3AB-B164B7C1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2008-05-29T13:46:00Z</cp:lastPrinted>
  <dcterms:created xsi:type="dcterms:W3CDTF">2026-07-16T19:59:00Z</dcterms:created>
  <dcterms:modified xsi:type="dcterms:W3CDTF">2026-07-16T19:59:00Z</dcterms:modified>
</cp:coreProperties>
</file>