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8EC" w:rsidRDefault="00CB08EC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CB08EC" w:rsidRDefault="00CB08EC">
      <w:pPr>
        <w:keepNext/>
        <w:keepLines/>
        <w:widowControl w:val="0"/>
        <w:rPr>
          <w:sz w:val="16"/>
          <w:szCs w:val="16"/>
        </w:rPr>
      </w:pPr>
    </w:p>
    <w:p w:rsidR="00CB08EC" w:rsidRDefault="00CB08EC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110,0 mg de clindamicina base/comprimido (</w:t>
      </w:r>
      <w:r>
        <w:rPr>
          <w:rFonts w:ascii="Arial" w:hAnsi="Arial" w:cs="Arial"/>
          <w:lang w:val="es-ES_tradnl"/>
        </w:rPr>
        <w:t>equivalente a 119,4 mg de clorhidrato de clindamicina/comprimido)</w:t>
      </w:r>
    </w:p>
    <w:p w:rsidR="00CB08EC" w:rsidRDefault="00CB08EC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150 mg/comprimido       </w:t>
      </w:r>
    </w:p>
    <w:p w:rsidR="00CB08EC" w:rsidRDefault="00CB08EC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4 – </w:t>
      </w:r>
      <w:smartTag w:uri="urn:schemas-microsoft-com:office:smarttags" w:element="metricconverter">
        <w:smartTagPr>
          <w:attr w:name="ProductID" w:val="30 ﾺC"/>
        </w:smartTagPr>
        <w:r>
          <w:rPr>
            <w:rFonts w:ascii="Arial" w:hAnsi="Arial" w:cs="Arial"/>
          </w:rPr>
          <w:t>30 ºC</w:t>
        </w:r>
      </w:smartTag>
      <w:r>
        <w:rPr>
          <w:rFonts w:ascii="Arial" w:hAnsi="Arial" w:cs="Arial"/>
        </w:rPr>
        <w:tab/>
      </w:r>
    </w:p>
    <w:p w:rsidR="00CB08EC" w:rsidRDefault="00CB08EC">
      <w:pPr>
        <w:keepNext/>
        <w:keepLines/>
        <w:widowControl w:val="0"/>
        <w:rPr>
          <w:rFonts w:ascii="Arial" w:hAnsi="Arial" w:cs="Arial"/>
        </w:rPr>
      </w:pPr>
    </w:p>
    <w:p w:rsidR="00CB08EC" w:rsidRDefault="00CB08E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CB08EC" w:rsidRDefault="00CB08EC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597F8A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blanquecinos,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597F8A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</w:p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8 mm"/>
              </w:smartTagPr>
              <w:r>
                <w:rPr>
                  <w:rFonts w:ascii="Arial" w:hAnsi="Arial" w:cs="Arial"/>
                </w:rPr>
                <w:t>8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138,</w:t>
            </w:r>
            <w:r w:rsidR="00607F25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– 161,</w:t>
            </w:r>
            <w:r w:rsidR="00607F25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</w:tcPr>
          <w:p w:rsidR="00CB08EC" w:rsidRDefault="00CB08EC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CB08EC" w:rsidRDefault="00CB08EC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7.5 % del peso promedio; y ninguno  de ellos, puede desviarse más que el 15 %.</w:t>
            </w:r>
          </w:p>
        </w:tc>
        <w:tc>
          <w:tcPr>
            <w:tcW w:w="1008" w:type="pct"/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B08EC" w:rsidRDefault="00977449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</w:tcPr>
          <w:p w:rsidR="00CB08EC" w:rsidRDefault="00CB08EC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CB08EC" w:rsidRDefault="00CB08EC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CB08EC" w:rsidRDefault="00CB08EC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CB08EC" w:rsidRDefault="00CB08EC" w:rsidP="00F3165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F31651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F31651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F31651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F31651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CB08EC" w:rsidRDefault="00CB08EC" w:rsidP="00F31651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CB08EC" w:rsidRDefault="00CB08EC" w:rsidP="00F31651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USP 30 técnica de </w:t>
            </w:r>
            <w:r w:rsidR="00597F8A">
              <w:rPr>
                <w:rFonts w:ascii="Arial" w:hAnsi="Arial" w:cs="Arial"/>
              </w:rPr>
              <w:t>valoración</w:t>
            </w:r>
          </w:p>
        </w:tc>
      </w:tr>
      <w:tr w:rsidR="00CB0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B08EC" w:rsidRDefault="00CB08E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B08EC" w:rsidRDefault="00CB08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106,26 – 113,74 mg de clindamicina</w:t>
            </w:r>
          </w:p>
          <w:p w:rsidR="00CB08EC" w:rsidRDefault="00CB08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base/comp </w:t>
            </w:r>
          </w:p>
          <w:p w:rsidR="00CB08EC" w:rsidRDefault="00CB08EC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(96,6 - 103,4 % del valor declarado), según Res.396/75 SENASA</w:t>
            </w:r>
          </w:p>
        </w:tc>
        <w:tc>
          <w:tcPr>
            <w:tcW w:w="1008" w:type="pct"/>
            <w:vAlign w:val="center"/>
          </w:tcPr>
          <w:p w:rsidR="00CB08EC" w:rsidRDefault="00CB08EC" w:rsidP="00F31651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CB08EC" w:rsidRDefault="00CB08EC" w:rsidP="00F31651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 técnica de materia prima adaptada</w:t>
            </w:r>
          </w:p>
        </w:tc>
      </w:tr>
    </w:tbl>
    <w:p w:rsidR="00CB08EC" w:rsidRDefault="00CB08EC">
      <w:pPr>
        <w:keepNext/>
        <w:keepLines/>
        <w:widowControl w:val="0"/>
        <w:rPr>
          <w:rFonts w:ascii="Arial" w:hAnsi="Arial" w:cs="Arial"/>
        </w:rPr>
      </w:pPr>
    </w:p>
    <w:p w:rsidR="00CB08EC" w:rsidRDefault="00CB08E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CB08EC" w:rsidRDefault="00CB08EC">
      <w:pPr>
        <w:keepNext/>
        <w:keepLines/>
        <w:widowControl w:val="0"/>
        <w:rPr>
          <w:sz w:val="16"/>
          <w:szCs w:val="16"/>
        </w:rPr>
      </w:pPr>
    </w:p>
    <w:p w:rsidR="00CB08EC" w:rsidRDefault="00CB08E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CB08EC" w:rsidRDefault="00CB08E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CB08EC" w:rsidRDefault="00CB08E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CB08EC" w:rsidRDefault="00CB08E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Laboratorio de Control. </w:t>
      </w:r>
    </w:p>
    <w:sectPr w:rsidR="00CB08EC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1B4" w:rsidRDefault="003641B4">
      <w:pPr>
        <w:pStyle w:val="Encabezado"/>
      </w:pPr>
      <w:r>
        <w:separator/>
      </w:r>
    </w:p>
  </w:endnote>
  <w:endnote w:type="continuationSeparator" w:id="0">
    <w:p w:rsidR="003641B4" w:rsidRDefault="003641B4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B93398">
      <w:tc>
        <w:tcPr>
          <w:tcW w:w="2268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</w:p>
      </w:tc>
    </w:tr>
    <w:tr w:rsidR="00B93398">
      <w:trPr>
        <w:trHeight w:val="1489"/>
      </w:trPr>
      <w:tc>
        <w:tcPr>
          <w:tcW w:w="2268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B93398" w:rsidRDefault="00B9339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B93398" w:rsidRDefault="00B933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1B4" w:rsidRDefault="003641B4">
      <w:pPr>
        <w:pStyle w:val="Encabezado"/>
      </w:pPr>
      <w:r>
        <w:separator/>
      </w:r>
    </w:p>
  </w:footnote>
  <w:footnote w:type="continuationSeparator" w:id="0">
    <w:p w:rsidR="003641B4" w:rsidRDefault="003641B4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98" w:rsidRDefault="00B93398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23"/>
      <w:gridCol w:w="4203"/>
      <w:gridCol w:w="3285"/>
    </w:tblGrid>
    <w:tr w:rsidR="00B93398">
      <w:trPr>
        <w:cantSplit/>
        <w:trHeight w:val="620"/>
      </w:trPr>
      <w:tc>
        <w:tcPr>
          <w:tcW w:w="2448" w:type="dxa"/>
          <w:vMerge w:val="restart"/>
        </w:tcPr>
        <w:p w:rsidR="00B93398" w:rsidRDefault="007A6AE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4" name="Imagen 14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93398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4F4502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CLINDAMICIN </w:t>
          </w:r>
        </w:p>
        <w:p w:rsidR="00B93398" w:rsidRDefault="004F4502" w:rsidP="004F450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110 mg </w:t>
          </w:r>
          <w:r w:rsidR="00B93398"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PT010-00</w:t>
          </w:r>
        </w:p>
      </w:tc>
    </w:tr>
    <w:tr w:rsidR="00B93398">
      <w:trPr>
        <w:cantSplit/>
        <w:trHeight w:val="620"/>
      </w:trPr>
      <w:tc>
        <w:tcPr>
          <w:tcW w:w="2448" w:type="dxa"/>
          <w:vMerge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B93398" w:rsidRDefault="00B93398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06-109</w:t>
          </w:r>
        </w:p>
      </w:tc>
    </w:tr>
    <w:tr w:rsidR="00B93398">
      <w:trPr>
        <w:cantSplit/>
        <w:trHeight w:val="620"/>
      </w:trPr>
      <w:tc>
        <w:tcPr>
          <w:tcW w:w="2448" w:type="dxa"/>
          <w:vMerge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B93398" w:rsidRDefault="00B93398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Antibiótico/Lincosamidas</w:t>
          </w:r>
        </w:p>
      </w:tc>
    </w:tr>
    <w:tr w:rsidR="00B93398">
      <w:trPr>
        <w:cantSplit/>
        <w:trHeight w:val="541"/>
      </w:trPr>
      <w:tc>
        <w:tcPr>
          <w:tcW w:w="2448" w:type="dxa"/>
          <w:vMerge/>
        </w:tcPr>
        <w:p w:rsidR="00B93398" w:rsidRDefault="00B93398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B93398" w:rsidRDefault="00B93398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7A6AE5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7A6AE5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B93398" w:rsidRDefault="00B933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651"/>
    <w:rsid w:val="00092881"/>
    <w:rsid w:val="00106659"/>
    <w:rsid w:val="003641B4"/>
    <w:rsid w:val="004F4502"/>
    <w:rsid w:val="00597F8A"/>
    <w:rsid w:val="00607F25"/>
    <w:rsid w:val="007A6AE5"/>
    <w:rsid w:val="008953B4"/>
    <w:rsid w:val="00977449"/>
    <w:rsid w:val="00B93398"/>
    <w:rsid w:val="00C101B5"/>
    <w:rsid w:val="00CB08EC"/>
    <w:rsid w:val="00E75832"/>
    <w:rsid w:val="00F3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8F20ADB-674B-4428-BD2C-DBC67F1C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2008-09-16T17:26:00Z</cp:lastPrinted>
  <dcterms:created xsi:type="dcterms:W3CDTF">2026-07-17T01:18:00Z</dcterms:created>
  <dcterms:modified xsi:type="dcterms:W3CDTF">2026-07-17T01:18:00Z</dcterms:modified>
</cp:coreProperties>
</file>