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4"/>
          <w:szCs w:val="24"/>
        </w:rPr>
        <w:t xml:space="preserve">LABORATORIO LAMAR SRL</w:t>
      </w:r>
    </w:p>
    <w:p>
      <w:pPr>
        <w:spacing w:after="60"/>
      </w:pPr>
      <w:r>
        <w:rPr>
          <w:b/>
          <w:bCs/>
          <w:color w:val="1F3864"/>
          <w:sz w:val="44"/>
          <w:szCs w:val="44"/>
        </w:rPr>
        <w:t xml:space="preserve">LIMSS</w:t>
      </w:r>
    </w:p>
    <w:p>
      <w:pPr>
        <w:spacing w:after="240"/>
      </w:pPr>
      <w:r>
        <w:rPr>
          <w:color w:val="595959"/>
          <w:sz w:val="24"/>
          <w:szCs w:val="24"/>
        </w:rPr>
        <w:t xml:space="preserve">Sistema de Gestión de Análisis Externos</w:t>
      </w:r>
    </w:p>
    <w:p>
      <w:pPr>
        <w:spacing w:after="60"/>
      </w:pPr>
      <w:r>
        <w:rPr>
          <w:b/>
          <w:bCs/>
          <w:sz w:val="28"/>
          <w:szCs w:val="28"/>
        </w:rPr>
        <w:t xml:space="preserve">MANUAL DE USUARIO</w:t>
      </w:r>
    </w:p>
    <w:p>
      <w:pPr>
        <w:spacing w:after="120"/>
      </w:pPr>
      <w:r>
        <w:rPr>
          <w:b/>
          <w:bCs/>
          <w:color w:val="1F3864"/>
          <w:sz w:val="24"/>
          <w:szCs w:val="24"/>
        </w:rPr>
        <w:t xml:space="preserve">ROL: ANALISTA QC</w:t>
      </w:r>
    </w:p>
    <w:p>
      <w:pPr>
        <w:spacing w:after="480"/>
      </w:pPr>
      <w:r>
        <w:rPr>
          <w:i/>
          <w:iCs/>
          <w:color w:val="595959"/>
          <w:sz w:val="20"/>
          <w:szCs w:val="20"/>
        </w:rPr>
        <w:t xml:space="preserve">Versión 2.1 · Agosto 2026</w:t>
      </w:r>
    </w:p>
    <w:p>
      <w:pPr>
        <w:spacing w:after="160"/>
      </w:pPr>
      <w:r>
        <w:rPr>
          <w:b/>
          <w:bCs/>
          <w:sz w:val="22"/>
          <w:szCs w:val="22"/>
        </w:rPr>
        <w:t xml:space="preserve">CONTENIDO</w:t>
      </w:r>
    </w:p>
    <w:p>
      <w:pPr>
        <w:spacing w:after="60"/>
      </w:pPr>
      <w:r>
        <w:rPr>
          <w:sz w:val="21"/>
          <w:szCs w:val="21"/>
        </w:rPr>
        <w:t xml:space="preserve">1. Responsabilidades del Analista QC</w:t>
      </w:r>
    </w:p>
    <w:p>
      <w:pPr>
        <w:spacing w:after="60"/>
      </w:pPr>
      <w:r>
        <w:rPr>
          <w:sz w:val="21"/>
          <w:szCs w:val="21"/>
        </w:rPr>
        <w:t xml:space="preserve">2. Acceso al sistema</w:t>
      </w:r>
    </w:p>
    <w:p>
      <w:pPr>
        <w:spacing w:after="60"/>
      </w:pPr>
      <w:r>
        <w:rPr>
          <w:sz w:val="21"/>
          <w:szCs w:val="21"/>
        </w:rPr>
        <w:t xml:space="preserve">3. Envío de Muestras</w:t>
      </w:r>
    </w:p>
    <w:p>
      <w:pPr>
        <w:spacing w:after="60"/>
      </w:pPr>
      <w:r>
        <w:rPr>
          <w:sz w:val="21"/>
          <w:szCs w:val="21"/>
        </w:rPr>
        <w:t xml:space="preserve">4. Carga de Resultados</w:t>
      </w:r>
    </w:p>
    <w:p>
      <w:pPr>
        <w:spacing w:after="60"/>
      </w:pPr>
      <w:r>
        <w:rPr>
          <w:sz w:val="21"/>
          <w:szCs w:val="21"/>
        </w:rPr>
        <w:t xml:space="preserve">5. Material de Empaque</w:t>
      </w:r>
    </w:p>
    <w:p>
      <w:pPr>
        <w:spacing w:after="60"/>
      </w:pPr>
      <w:r>
        <w:rPr>
          <w:sz w:val="21"/>
          <w:szCs w:val="21"/>
        </w:rPr>
        <w:t xml:space="preserve">6. Datos Maestros</w:t>
      </w:r>
    </w:p>
    <w:p>
      <w:pPr>
        <w:spacing w:after="60"/>
      </w:pPr>
      <w:r>
        <w:rPr>
          <w:sz w:val="21"/>
          <w:szCs w:val="21"/>
        </w:rPr>
        <w:t xml:space="preserve">7. Remitos de Testigos</w:t>
      </w:r>
    </w:p>
    <w:p>
      <w:pPr>
        <w:spacing w:after="60"/>
      </w:pPr>
      <w:r>
        <w:rPr>
          <w:sz w:val="21"/>
          <w:szCs w:val="21"/>
        </w:rPr>
        <w:t xml:space="preserve">8. Consulta de Muestras</w:t>
      </w:r>
    </w:p>
    <w:p>
      <w:pPr>
        <w:spacing w:after="240"/>
      </w:pPr>
    </w:p>
    <w:p>
      <w:pPr>
        <w:pBdr>
          <w:bottom w:val="single" w:color="1F3864" w:sz="6" w:space="4"/>
        </w:pBdr>
        <w:spacing w:after="140" w:before="360"/>
      </w:pPr>
      <w:r>
        <w:rPr>
          <w:b/>
          <w:bCs/>
          <w:color w:val="1F3864"/>
          <w:sz w:val="26"/>
          <w:szCs w:val="26"/>
        </w:rPr>
        <w:t xml:space="preserve">1. Responsabilidades del Analista QC</w:t>
      </w:r>
    </w:p>
    <w:p>
      <w:pPr>
        <w:spacing w:after="120"/>
      </w:pPr>
      <w:r>
        <w:rPr>
          <w:sz w:val="21"/>
          <w:szCs w:val="21"/>
        </w:rPr>
        <w:t xml:space="preserve">El Analista QC tiene acceso a las funciones operativas del sistema: envío de muestras a laboratorios, carga de resultados analíticos y mantenimiento de datos maestros.</w:t>
      </w:r>
    </w:p>
    <w:p>
      <w:pPr>
        <w:pStyle w:val="ListParagraph"/>
        <w:numPr>
          <w:ilvl w:val="0"/>
          <w:numId w:val="1"/>
        </w:numPr>
        <w:spacing w:after="60"/>
      </w:pPr>
      <w:r>
        <w:rPr>
          <w:sz w:val="21"/>
          <w:szCs w:val="21"/>
        </w:rPr>
        <w:t xml:space="preserve">Gestionar envíos de muestras a laboratorios externos e internos</w:t>
      </w:r>
    </w:p>
    <w:p>
      <w:pPr>
        <w:pStyle w:val="ListParagraph"/>
        <w:numPr>
          <w:ilvl w:val="0"/>
          <w:numId w:val="1"/>
        </w:numPr>
        <w:spacing w:after="60"/>
      </w:pPr>
      <w:r>
        <w:rPr>
          <w:sz w:val="21"/>
          <w:szCs w:val="21"/>
        </w:rPr>
        <w:t xml:space="preserve">Generar remitos de envío (PDF)</w:t>
      </w:r>
    </w:p>
    <w:p>
      <w:pPr>
        <w:pStyle w:val="ListParagraph"/>
        <w:numPr>
          <w:ilvl w:val="0"/>
          <w:numId w:val="1"/>
        </w:numPr>
        <w:spacing w:after="60"/>
      </w:pPr>
      <w:r>
        <w:rPr>
          <w:sz w:val="21"/>
          <w:szCs w:val="21"/>
        </w:rPr>
        <w:t xml:space="preserve">Cargar resultados de los análisis recibidos, incluso parcialmente mientras llega el protocolo</w:t>
      </w:r>
    </w:p>
    <w:p>
      <w:pPr>
        <w:pStyle w:val="ListParagraph"/>
        <w:numPr>
          <w:ilvl w:val="0"/>
          <w:numId w:val="1"/>
        </w:numPr>
        <w:spacing w:after="60"/>
      </w:pPr>
      <w:r>
        <w:rPr>
          <w:sz w:val="21"/>
          <w:szCs w:val="21"/>
        </w:rPr>
        <w:t xml:space="preserve">Gestionar Material de Empaque (comparación de etiquetas, novedades)</w:t>
      </w:r>
    </w:p>
    <w:p>
      <w:pPr>
        <w:pStyle w:val="ListParagraph"/>
        <w:numPr>
          <w:ilvl w:val="0"/>
          <w:numId w:val="1"/>
        </w:numPr>
        <w:spacing w:after="60"/>
      </w:pPr>
      <w:r>
        <w:rPr>
          <w:sz w:val="21"/>
          <w:szCs w:val="21"/>
        </w:rPr>
        <w:t xml:space="preserve">Mantener datos maestros: especificaciones, testigos, laboratorios, ensayos</w:t>
      </w:r>
    </w:p>
    <w:p>
      <w:pPr>
        <w:pStyle w:val="ListParagraph"/>
        <w:numPr>
          <w:ilvl w:val="0"/>
          <w:numId w:val="1"/>
        </w:numPr>
        <w:spacing w:after="60"/>
      </w:pPr>
      <w:r>
        <w:rPr>
          <w:sz w:val="21"/>
          <w:szCs w:val="21"/>
        </w:rPr>
        <w:t xml:space="preserve">Consultar el estado de las muestras</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El Analista QC NO puede emitir dictámenes finales. Esa función es exclusiva del rol QA.</w:t>
      </w:r>
    </w:p>
    <w:p>
      <w:pPr>
        <w:pBdr>
          <w:bottom w:val="single" w:color="1F3864" w:sz="6" w:space="4"/>
        </w:pBdr>
        <w:spacing w:after="140" w:before="360"/>
      </w:pPr>
      <w:r>
        <w:rPr>
          <w:b/>
          <w:bCs/>
          <w:color w:val="1F3864"/>
          <w:sz w:val="26"/>
          <w:szCs w:val="26"/>
        </w:rPr>
        <w:t xml:space="preserve">2. Acceso al sistema</w:t>
      </w:r>
    </w:p>
    <w:p>
      <w:pPr>
        <w:spacing w:after="60"/>
        <w:ind w:left="360"/>
      </w:pPr>
      <w:r>
        <w:rPr>
          <w:b/>
          <w:bCs/>
          <w:sz w:val="21"/>
          <w:szCs w:val="21"/>
        </w:rPr>
        <w:t xml:space="preserve">1. </w:t>
      </w:r>
      <w:r>
        <w:rPr>
          <w:sz w:val="21"/>
          <w:szCs w:val="21"/>
        </w:rPr>
        <w:t xml:space="preserve">Abrí el navegador y accedé a http://[IP_SERVIDOR]:5174</w:t>
      </w:r>
    </w:p>
    <w:p>
      <w:pPr>
        <w:spacing w:after="60"/>
        <w:ind w:left="360"/>
      </w:pPr>
      <w:r>
        <w:rPr>
          <w:b/>
          <w:bCs/>
          <w:sz w:val="21"/>
          <w:szCs w:val="21"/>
        </w:rPr>
        <w:t xml:space="preserve">2. </w:t>
      </w:r>
      <w:r>
        <w:rPr>
          <w:sz w:val="21"/>
          <w:szCs w:val="21"/>
        </w:rPr>
        <w:t xml:space="preserve">Ingresá tu Código de usuario y PIN</w:t>
      </w:r>
    </w:p>
    <w:p>
      <w:pPr>
        <w:spacing w:after="60"/>
        <w:ind w:left="360"/>
      </w:pPr>
      <w:r>
        <w:rPr>
          <w:b/>
          <w:bCs/>
          <w:sz w:val="21"/>
          <w:szCs w:val="21"/>
        </w:rPr>
        <w:t xml:space="preserve">3. </w:t>
      </w:r>
      <w:r>
        <w:rPr>
          <w:sz w:val="21"/>
          <w:szCs w:val="21"/>
        </w:rPr>
        <w:t xml:space="preserve">Hacé clic en "Ingresar"</w:t>
      </w:r>
    </w:p>
    <w:p>
      <w:pPr>
        <w:spacing w:after="120"/>
      </w:pPr>
      <w:r>
        <w:rPr>
          <w:sz w:val="21"/>
          <w:szCs w:val="21"/>
        </w:rPr>
        <w:t xml:space="preserve">Al ingresar verás el panel de estado del sistema con solicitudes pendientes, muestras en proceso, resultados pendientes y alertas de testigos.</w:t>
      </w:r>
    </w:p>
    <w:p>
      <w:pPr>
        <w:pBdr>
          <w:bottom w:val="single" w:color="1F3864" w:sz="6" w:space="4"/>
        </w:pBdr>
        <w:spacing w:after="140" w:before="360"/>
      </w:pPr>
      <w:r>
        <w:rPr>
          <w:b/>
          <w:bCs/>
          <w:color w:val="1F3864"/>
          <w:sz w:val="26"/>
          <w:szCs w:val="26"/>
        </w:rPr>
        <w:t xml:space="preserve">3. Envío de Muestras</w:t>
      </w:r>
    </w:p>
    <w:p>
      <w:pPr>
        <w:spacing w:after="100" w:before="240"/>
      </w:pPr>
      <w:r>
        <w:rPr>
          <w:b/>
          <w:bCs/>
          <w:sz w:val="23"/>
          <w:szCs w:val="23"/>
        </w:rPr>
        <w:t xml:space="preserve">3.1 Ver muestras pendientes de envío</w:t>
      </w:r>
    </w:p>
    <w:p>
      <w:pPr>
        <w:spacing w:after="120"/>
      </w:pPr>
      <w:r>
        <w:rPr>
          <w:sz w:val="21"/>
          <w:szCs w:val="21"/>
        </w:rPr>
        <w:t xml:space="preserve">Desde el menú "Envío de Muestras" verás todas las muestras en estado "Pendiente de envío" listas para ser despachadas al laboratorio.</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Si una especificación no tiene ningún ensayo de laboratorio (solo checklist físico de muestreo), esa muestra nunca aparece acá — pasa directo de "Ejecutar muestreo" a Dictamen, sin necesitar envío.</w:t>
      </w:r>
    </w:p>
    <w:p>
      <w:pPr>
        <w:spacing w:after="100" w:before="240"/>
      </w:pPr>
      <w:r>
        <w:rPr>
          <w:b/>
          <w:bCs/>
          <w:sz w:val="23"/>
          <w:szCs w:val="23"/>
        </w:rPr>
        <w:t xml:space="preserve">3.2 Crear un nuevo envío</w:t>
      </w:r>
    </w:p>
    <w:p>
      <w:pPr>
        <w:spacing w:after="60"/>
        <w:ind w:left="360"/>
      </w:pPr>
      <w:r>
        <w:rPr>
          <w:b/>
          <w:bCs/>
          <w:sz w:val="21"/>
          <w:szCs w:val="21"/>
        </w:rPr>
        <w:t xml:space="preserve">1. </w:t>
      </w:r>
      <w:r>
        <w:rPr>
          <w:sz w:val="21"/>
          <w:szCs w:val="21"/>
        </w:rPr>
        <w:t xml:space="preserve">Seleccioná la muestra de la lista</w:t>
      </w:r>
    </w:p>
    <w:p>
      <w:pPr>
        <w:spacing w:after="60"/>
        <w:ind w:left="360"/>
      </w:pPr>
      <w:r>
        <w:rPr>
          <w:b/>
          <w:bCs/>
          <w:sz w:val="21"/>
          <w:szCs w:val="21"/>
        </w:rPr>
        <w:t xml:space="preserve">2. </w:t>
      </w:r>
      <w:r>
        <w:rPr>
          <w:sz w:val="21"/>
          <w:szCs w:val="21"/>
        </w:rPr>
        <w:t xml:space="preserve">Hacé clic en "Nuevo envío"</w:t>
      </w:r>
    </w:p>
    <w:p>
      <w:pPr>
        <w:spacing w:after="60"/>
        <w:ind w:left="360"/>
      </w:pPr>
      <w:r>
        <w:rPr>
          <w:b/>
          <w:bCs/>
          <w:sz w:val="21"/>
          <w:szCs w:val="21"/>
        </w:rPr>
        <w:t xml:space="preserve">3. </w:t>
      </w:r>
      <w:r>
        <w:rPr>
          <w:sz w:val="21"/>
          <w:szCs w:val="21"/>
        </w:rPr>
        <w:t xml:space="preserve">Seleccioná el laboratorio destino</w:t>
      </w:r>
    </w:p>
    <w:p>
      <w:pPr>
        <w:spacing w:after="60"/>
        <w:ind w:left="360"/>
      </w:pPr>
      <w:r>
        <w:rPr>
          <w:b/>
          <w:bCs/>
          <w:sz w:val="21"/>
          <w:szCs w:val="21"/>
        </w:rPr>
        <w:t xml:space="preserve">4. </w:t>
      </w:r>
      <w:r>
        <w:rPr>
          <w:sz w:val="21"/>
          <w:szCs w:val="21"/>
        </w:rPr>
        <w:t xml:space="preserve">Seleccioná el contacto del laboratorio (si tiene más de uno)</w:t>
      </w:r>
    </w:p>
    <w:p>
      <w:pPr>
        <w:spacing w:after="60"/>
        <w:ind w:left="360"/>
      </w:pPr>
      <w:r>
        <w:rPr>
          <w:b/>
          <w:bCs/>
          <w:sz w:val="21"/>
          <w:szCs w:val="21"/>
        </w:rPr>
        <w:t xml:space="preserve">5. </w:t>
      </w:r>
      <w:r>
        <w:rPr>
          <w:sz w:val="21"/>
          <w:szCs w:val="21"/>
        </w:rPr>
        <w:t xml:space="preserve">El sistema muestra automáticamente los ensayos activos asignados a ese laboratorio</w:t>
      </w:r>
    </w:p>
    <w:p>
      <w:pPr>
        <w:spacing w:after="60"/>
        <w:ind w:left="360"/>
      </w:pPr>
      <w:r>
        <w:rPr>
          <w:b/>
          <w:bCs/>
          <w:sz w:val="21"/>
          <w:szCs w:val="21"/>
        </w:rPr>
        <w:t xml:space="preserve">6. </w:t>
      </w:r>
      <w:r>
        <w:rPr>
          <w:sz w:val="21"/>
          <w:szCs w:val="21"/>
        </w:rPr>
        <w:t xml:space="preserve">Marcá o desmarcá los ensayos a solicitar en este envío</w:t>
      </w:r>
    </w:p>
    <w:p>
      <w:pPr>
        <w:spacing w:after="60"/>
        <w:ind w:left="360"/>
      </w:pPr>
      <w:r>
        <w:rPr>
          <w:b/>
          <w:bCs/>
          <w:sz w:val="21"/>
          <w:szCs w:val="21"/>
        </w:rPr>
        <w:t xml:space="preserve">7. </w:t>
      </w:r>
      <w:r>
        <w:rPr>
          <w:sz w:val="21"/>
          <w:szCs w:val="21"/>
        </w:rPr>
        <w:t xml:space="preserve">Si corresponde, seleccioná el testigo a utilizar</w:t>
      </w:r>
    </w:p>
    <w:p>
      <w:pPr>
        <w:spacing w:after="60"/>
        <w:ind w:left="360"/>
      </w:pPr>
      <w:r>
        <w:rPr>
          <w:b/>
          <w:bCs/>
          <w:sz w:val="21"/>
          <w:szCs w:val="21"/>
        </w:rPr>
        <w:t xml:space="preserve">8. </w:t>
      </w:r>
      <w:r>
        <w:rPr>
          <w:sz w:val="21"/>
          <w:szCs w:val="21"/>
        </w:rPr>
        <w:t xml:space="preserve">Hacé clic en "Generar remito"</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Una misma muestra puede tener múltiples envíos a distintos laboratorios con distintos ensayos cada uno.</w:t>
      </w:r>
    </w:p>
    <w:p>
      <w:pPr>
        <w:spacing w:after="100" w:before="240"/>
      </w:pPr>
      <w:r>
        <w:rPr>
          <w:b/>
          <w:bCs/>
          <w:sz w:val="23"/>
          <w:szCs w:val="23"/>
        </w:rPr>
        <w:t xml:space="preserve">3.3 Remito de envío</w:t>
      </w:r>
    </w:p>
    <w:p>
      <w:pPr>
        <w:spacing w:after="120"/>
      </w:pPr>
      <w:r>
        <w:rPr>
          <w:sz w:val="21"/>
          <w:szCs w:val="21"/>
        </w:rPr>
        <w:t xml:space="preserve">Al generar el remito el sistema crea un PDF con dos copias (original para el laboratorio y duplicado para archivo). El PDF incluye: datos del material, N° de IR o LOTE según corresponda, ensayos solicitados con su analito (si aplica) y sus límites de especificación, testigo a utilizar, y espacio para firma. Las Observaciones del remito muestran el texto libre cargado para cada ensayo de la especificación.</w:t>
      </w:r>
    </w:p>
    <w:p>
      <w:pPr>
        <w:spacing w:after="100" w:before="240"/>
      </w:pPr>
      <w:r>
        <w:rPr>
          <w:b/>
          <w:bCs/>
          <w:sz w:val="23"/>
          <w:szCs w:val="23"/>
        </w:rPr>
        <w:t xml:space="preserve">3.4 Constancia de recepción</w:t>
      </w:r>
    </w:p>
    <w:p>
      <w:pPr>
        <w:spacing w:after="120"/>
      </w:pPr>
      <w:r>
        <w:rPr>
          <w:sz w:val="21"/>
          <w:szCs w:val="21"/>
        </w:rPr>
        <w:t xml:space="preserve">Cuando el laboratorio envía la constancia de recepción de la muestra, hay un botón directo en la fila del envío (visible una vez generado el remito) para ingresarla, sin tener que entrar primero al detalle del envío.</w:t>
      </w:r>
    </w:p>
    <w:p>
      <w:pPr>
        <w:spacing w:after="100" w:before="240"/>
      </w:pPr>
      <w:r>
        <w:rPr>
          <w:b/>
          <w:bCs/>
          <w:sz w:val="23"/>
          <w:szCs w:val="23"/>
        </w:rPr>
        <w:t xml:space="preserve">3.5 Historial de remitos</w:t>
      </w:r>
    </w:p>
    <w:p>
      <w:pPr>
        <w:spacing w:after="120"/>
      </w:pPr>
      <w:r>
        <w:rPr>
          <w:sz w:val="21"/>
          <w:szCs w:val="21"/>
        </w:rPr>
        <w:t xml:space="preserve">Cada vez que se genera un remito para un envío queda como un documento nuevo — el sistema NUNCA modifica un remito ya emitido, ni siquiera si después se corrige algún dato relacionado (por ejemplo, la fecha real de envío de un testigo). Si hace falta reflejar una corrección, hay que generar un remito nuevo desde el botón correspondiente.</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Desde el detalle del envío se puede ver el historial completo de remitos generados, no solo el más reciente — cada uno con su número y fecha, para saber cuál tiene la información actualizada y cuál no.</w:t>
      </w:r>
    </w:p>
    <w:p>
      <w:pPr>
        <w:spacing w:after="100" w:before="240"/>
      </w:pPr>
      <w:r>
        <w:rPr>
          <w:b/>
          <w:bCs/>
          <w:sz w:val="23"/>
          <w:szCs w:val="23"/>
        </w:rPr>
        <w:t xml:space="preserve">3.6 Estado de facturación</w:t>
      </w:r>
    </w:p>
    <w:p>
      <w:pPr>
        <w:spacing w:after="120"/>
      </w:pPr>
      <w:r>
        <w:rPr>
          <w:sz w:val="21"/>
          <w:szCs w:val="21"/>
        </w:rPr>
        <w:t xml:space="preserve">En la pantalla de Envío de Muestras, cada envío muestra si ya está "Facturado" o "Sin Facturar", según si tiene una factura de laboratorio asociada en el módulo de Facturación.</w:t>
      </w:r>
    </w:p>
    <w:p>
      <w:pPr>
        <w:pBdr>
          <w:bottom w:val="single" w:color="1F3864" w:sz="6" w:space="4"/>
        </w:pBdr>
        <w:spacing w:after="140" w:before="360"/>
      </w:pPr>
      <w:r>
        <w:rPr>
          <w:b/>
          <w:bCs/>
          <w:color w:val="1F3864"/>
          <w:sz w:val="26"/>
          <w:szCs w:val="26"/>
        </w:rPr>
        <w:t xml:space="preserve">4. Carga de Resultados</w:t>
      </w:r>
    </w:p>
    <w:p>
      <w:pPr>
        <w:spacing w:after="100" w:before="240"/>
      </w:pPr>
      <w:r>
        <w:rPr>
          <w:b/>
          <w:bCs/>
          <w:sz w:val="23"/>
          <w:szCs w:val="23"/>
        </w:rPr>
        <w:t xml:space="preserve">4.1 Acceder a la carga de resultados</w:t>
      </w:r>
    </w:p>
    <w:p>
      <w:pPr>
        <w:spacing w:after="120"/>
      </w:pPr>
      <w:r>
        <w:rPr>
          <w:sz w:val="21"/>
          <w:szCs w:val="21"/>
        </w:rPr>
        <w:t xml:space="preserve">Desde el menú "Carga de Resultados" verás los envíos que tienen ensayos pendientes de resultado.</w:t>
      </w:r>
    </w:p>
    <w:p>
      <w:pPr>
        <w:spacing w:after="100" w:before="240"/>
      </w:pPr>
      <w:r>
        <w:rPr>
          <w:b/>
          <w:bCs/>
          <w:sz w:val="23"/>
          <w:szCs w:val="23"/>
        </w:rPr>
        <w:t xml:space="preserve">4.2 Cargar resultados de un envío</w:t>
      </w:r>
    </w:p>
    <w:p>
      <w:pPr>
        <w:spacing w:after="60"/>
        <w:ind w:left="360"/>
      </w:pPr>
      <w:r>
        <w:rPr>
          <w:b/>
          <w:bCs/>
          <w:sz w:val="21"/>
          <w:szCs w:val="21"/>
        </w:rPr>
        <w:t xml:space="preserve">1. </w:t>
      </w:r>
      <w:r>
        <w:rPr>
          <w:sz w:val="21"/>
          <w:szCs w:val="21"/>
        </w:rPr>
        <w:t xml:space="preserve">Seleccioná el envío de la lista</w:t>
      </w:r>
    </w:p>
    <w:p>
      <w:pPr>
        <w:spacing w:after="60"/>
        <w:ind w:left="360"/>
      </w:pPr>
      <w:r>
        <w:rPr>
          <w:b/>
          <w:bCs/>
          <w:sz w:val="21"/>
          <w:szCs w:val="21"/>
        </w:rPr>
        <w:t xml:space="preserve">2. </w:t>
      </w:r>
      <w:r>
        <w:rPr>
          <w:sz w:val="21"/>
          <w:szCs w:val="21"/>
        </w:rPr>
        <w:t xml:space="preserve">El sistema muestra los ensayos solicitados en ese envío, junto con la especificación de texto libre de cada uno (si tiene)</w:t>
      </w:r>
    </w:p>
    <w:p>
      <w:pPr>
        <w:spacing w:after="60"/>
        <w:ind w:left="360"/>
      </w:pPr>
      <w:r>
        <w:rPr>
          <w:b/>
          <w:bCs/>
          <w:sz w:val="21"/>
          <w:szCs w:val="21"/>
        </w:rPr>
        <w:t xml:space="preserve">3. </w:t>
      </w:r>
      <w:r>
        <w:rPr>
          <w:sz w:val="21"/>
          <w:szCs w:val="21"/>
        </w:rPr>
        <w:t xml:space="preserve">Para ensayos numéricos: ingresá el valor numérico</w:t>
      </w:r>
    </w:p>
    <w:p>
      <w:pPr>
        <w:spacing w:after="60"/>
        <w:ind w:left="360"/>
      </w:pPr>
      <w:r>
        <w:rPr>
          <w:b/>
          <w:bCs/>
          <w:sz w:val="21"/>
          <w:szCs w:val="21"/>
        </w:rPr>
        <w:t xml:space="preserve">4. </w:t>
      </w:r>
      <w:r>
        <w:rPr>
          <w:sz w:val="21"/>
          <w:szCs w:val="21"/>
        </w:rPr>
        <w:t xml:space="preserve">Para ensayos cualitativos: seleccioná "Cumple" o "No cumple"</w:t>
      </w:r>
    </w:p>
    <w:p>
      <w:pPr>
        <w:spacing w:after="60"/>
        <w:ind w:left="360"/>
      </w:pPr>
      <w:r>
        <w:rPr>
          <w:b/>
          <w:bCs/>
          <w:sz w:val="21"/>
          <w:szCs w:val="21"/>
        </w:rPr>
        <w:t xml:space="preserve">5. </w:t>
      </w:r>
      <w:r>
        <w:rPr>
          <w:sz w:val="21"/>
          <w:szCs w:val="21"/>
        </w:rPr>
        <w:t xml:space="preserve">Podés agregar observaciones opcionales por ensayo</w:t>
      </w:r>
    </w:p>
    <w:p>
      <w:pPr>
        <w:spacing w:after="60"/>
        <w:ind w:left="360"/>
      </w:pPr>
      <w:r>
        <w:rPr>
          <w:b/>
          <w:bCs/>
          <w:sz w:val="21"/>
          <w:szCs w:val="21"/>
        </w:rPr>
        <w:t xml:space="preserve">6. </w:t>
      </w:r>
      <w:r>
        <w:rPr>
          <w:sz w:val="21"/>
          <w:szCs w:val="21"/>
        </w:rPr>
        <w:t xml:space="preserve">Hacé clic en "Guardar resultados"</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No hace falta cargar todos los ensayos de un envío de una sola vez — podés guardar los que ya tenés y completar el resto más adelante, cuando lleguen. La pantalla indica claramente cuáles quedaron pendientes.</w:t>
      </w:r>
    </w:p>
    <w:p>
      <w:pPr>
        <w:spacing w:after="100" w:before="240"/>
      </w:pPr>
      <w:r>
        <w:rPr>
          <w:b/>
          <w:bCs/>
          <w:sz w:val="23"/>
          <w:szCs w:val="23"/>
        </w:rPr>
        <w:t xml:space="preserve">4.3 Subir el protocolo del laboratorio</w:t>
      </w:r>
    </w:p>
    <w:p>
      <w:pPr>
        <w:spacing w:after="120"/>
      </w:pPr>
      <w:r>
        <w:rPr>
          <w:sz w:val="21"/>
          <w:szCs w:val="21"/>
        </w:rPr>
        <w:t xml:space="preserve">El protocolo/informe del laboratorio se sube por separado de los valores de los ensayos — no hace falta esperar a tenerlo para empezar a cargar resultados. Si ya existe un protocolo cargado, el sistema avisa antes de reemplazarlo.</w:t>
      </w:r>
    </w:p>
    <w:p>
      <w:pPr>
        <w:spacing w:after="100" w:before="240"/>
      </w:pPr>
      <w:r>
        <w:rPr>
          <w:b/>
          <w:bCs/>
          <w:sz w:val="23"/>
          <w:szCs w:val="23"/>
        </w:rPr>
        <w:t xml:space="preserve">4.4 Aprobado sin Dictamen</w:t>
      </w:r>
    </w:p>
    <w:p>
      <w:pPr>
        <w:spacing w:after="120"/>
      </w:pPr>
      <w:r>
        <w:rPr>
          <w:sz w:val="21"/>
          <w:szCs w:val="21"/>
        </w:rPr>
        <w:t xml:space="preserve">Cuando todos los ensayos de una muestra quedan cargados y dentro de especificación, la muestra pasa al estado "Aprobado sin Dictamen" — el material ya puede salir de cuarentena y se puede imprimir su etiqueta de Aprobado, aunque el QA todavía no haya firmado el dictamen formal en el sistema.</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La impresión de etiquetas de Aprobado/Rechazado solo está bloqueada mientras la muestra está "En Análisis" (resultados incompletos). Una vez resuelto el resultado, la etiqueta correspondiente ya se puede imprimir, sin esperar el dictamen.</w:t>
      </w:r>
    </w:p>
    <w:p>
      <w:pPr>
        <w:pBdr>
          <w:bottom w:val="single" w:color="1F3864" w:sz="6" w:space="4"/>
        </w:pBdr>
        <w:spacing w:after="140" w:before="360"/>
      </w:pPr>
      <w:r>
        <w:rPr>
          <w:b/>
          <w:bCs/>
          <w:color w:val="1F3864"/>
          <w:sz w:val="26"/>
          <w:szCs w:val="26"/>
        </w:rPr>
        <w:t xml:space="preserve">5. Material de Empaque</w:t>
      </w:r>
    </w:p>
    <w:p>
      <w:pPr>
        <w:spacing w:after="120"/>
      </w:pPr>
      <w:r>
        <w:rPr>
          <w:sz w:val="21"/>
          <w:szCs w:val="21"/>
        </w:rPr>
        <w:t xml:space="preserve">Los artículos de Material de Empaque (etiquetas, estuches, insertos) siguen un circuito más simple: en general solo llevan inspección visual, sin ensayos de laboratorio.</w:t>
      </w:r>
    </w:p>
    <w:p>
      <w:pPr>
        <w:spacing w:after="100" w:before="240"/>
      </w:pPr>
      <w:r>
        <w:rPr>
          <w:b/>
          <w:bCs/>
          <w:sz w:val="23"/>
          <w:szCs w:val="23"/>
        </w:rPr>
        <w:t xml:space="preserve">5.1 Comparación de etiquetas</w:t>
      </w:r>
    </w:p>
    <w:p>
      <w:pPr>
        <w:spacing w:after="120"/>
      </w:pPr>
      <w:r>
        <w:rPr>
          <w:sz w:val="21"/>
          <w:szCs w:val="21"/>
        </w:rPr>
        <w:t xml:space="preserve">Al cargar el resultado de un ensayo de comparación de etiqueta, podés subir una foto de la etiqueta recibida — el sistema la compara automáticamente contra la imagen de referencia aprobada del artículo y señala diferencias de texto encontradas. Esto es una ayuda para la inspección visual, no un veredicto: quien inspecciona sigue decidiendo Cumple/No cumple con su propio criterio.</w:t>
      </w:r>
    </w:p>
    <w:p>
      <w:pPr>
        <w:spacing w:after="100" w:before="240"/>
      </w:pPr>
      <w:r>
        <w:rPr>
          <w:b/>
          <w:bCs/>
          <w:sz w:val="23"/>
          <w:szCs w:val="23"/>
        </w:rPr>
        <w:t xml:space="preserve">5.2 Novedades de Material de Empaque</w:t>
      </w:r>
    </w:p>
    <w:p>
      <w:pPr>
        <w:spacing w:after="120"/>
      </w:pPr>
      <w:r>
        <w:rPr>
          <w:sz w:val="21"/>
          <w:szCs w:val="21"/>
        </w:rPr>
        <w:t xml:space="preserve">Desde "Novedades de Empaque" podés registrar cualquier observación sobre un artículo de empaque (por ejemplo, un cambio de diseño del proveedor) y marcarla como resuelta cuando corresponda.</w:t>
      </w:r>
    </w:p>
    <w:p>
      <w:pPr>
        <w:pBdr>
          <w:bottom w:val="single" w:color="1F3864" w:sz="6" w:space="4"/>
        </w:pBdr>
        <w:spacing w:after="140" w:before="360"/>
      </w:pPr>
      <w:r>
        <w:rPr>
          <w:b/>
          <w:bCs/>
          <w:color w:val="1F3864"/>
          <w:sz w:val="26"/>
          <w:szCs w:val="26"/>
        </w:rPr>
        <w:t xml:space="preserve">6. Datos Maestros</w:t>
      </w:r>
    </w:p>
    <w:p>
      <w:pPr>
        <w:spacing w:after="120"/>
      </w:pPr>
      <w:r>
        <w:rPr>
          <w:sz w:val="21"/>
          <w:szCs w:val="21"/>
        </w:rPr>
        <w:t xml:space="preserve">El Analista QC puede crear y editar los datos maestros del sistema. Accedé desde el menú "Definiciones".</w:t>
      </w:r>
    </w:p>
    <w:p>
      <w:pPr>
        <w:spacing w:after="100" w:before="240"/>
      </w:pPr>
      <w:r>
        <w:rPr>
          <w:b/>
          <w:bCs/>
          <w:sz w:val="23"/>
          <w:szCs w:val="23"/>
        </w:rPr>
        <w:t xml:space="preserve">6.1 Especificaciones</w:t>
      </w:r>
    </w:p>
    <w:p>
      <w:pPr>
        <w:pStyle w:val="ListParagraph"/>
        <w:numPr>
          <w:ilvl w:val="0"/>
          <w:numId w:val="1"/>
        </w:numPr>
        <w:spacing w:after="60"/>
      </w:pPr>
      <w:r>
        <w:rPr>
          <w:sz w:val="21"/>
          <w:szCs w:val="21"/>
        </w:rPr>
        <w:t xml:space="preserve">Crear nuevas especificaciones para materias primas, material de empaque, graneles o productos terminados</w:t>
      </w:r>
    </w:p>
    <w:p>
      <w:pPr>
        <w:pStyle w:val="ListParagraph"/>
        <w:numPr>
          <w:ilvl w:val="0"/>
          <w:numId w:val="1"/>
        </w:numPr>
        <w:spacing w:after="60"/>
      </w:pPr>
      <w:r>
        <w:rPr>
          <w:sz w:val="21"/>
          <w:szCs w:val="21"/>
        </w:rPr>
        <w:t xml:space="preserve">Asignar ensayos con sus parámetros (metodología, límites, laboratorio, analito, especificación de texto libre)</w:t>
      </w:r>
    </w:p>
    <w:p>
      <w:pPr>
        <w:pStyle w:val="ListParagraph"/>
        <w:numPr>
          <w:ilvl w:val="0"/>
          <w:numId w:val="1"/>
        </w:numPr>
        <w:spacing w:after="60"/>
      </w:pPr>
      <w:r>
        <w:rPr>
          <w:sz w:val="21"/>
          <w:szCs w:val="21"/>
        </w:rPr>
        <w:t xml:space="preserve">Definir el checklist de muestreo físico propio de cada especificación (los ítems que el Muestreador completa al ejecutar el muestreo)</w:t>
      </w:r>
    </w:p>
    <w:p>
      <w:pPr>
        <w:pStyle w:val="ListParagraph"/>
        <w:numPr>
          <w:ilvl w:val="0"/>
          <w:numId w:val="1"/>
        </w:numPr>
        <w:spacing w:after="60"/>
      </w:pPr>
      <w:r>
        <w:rPr>
          <w:sz w:val="21"/>
          <w:szCs w:val="21"/>
        </w:rPr>
        <w:t xml:space="preserve">Definir cantidades de muestreo (para análisis, contramuestra, testigo)</w:t>
      </w:r>
    </w:p>
    <w:p>
      <w:pPr>
        <w:pStyle w:val="ListParagraph"/>
        <w:numPr>
          <w:ilvl w:val="0"/>
          <w:numId w:val="1"/>
        </w:numPr>
        <w:spacing w:after="60"/>
      </w:pPr>
      <w:r>
        <w:rPr>
          <w:sz w:val="21"/>
          <w:szCs w:val="21"/>
        </w:rPr>
        <w:t xml:space="preserve">Asociar testigos a la especificación</w:t>
      </w:r>
    </w:p>
    <w:p>
      <w:pPr>
        <w:pStyle w:val="ListParagraph"/>
        <w:numPr>
          <w:ilvl w:val="0"/>
          <w:numId w:val="1"/>
        </w:numPr>
        <w:spacing w:after="60"/>
      </w:pPr>
      <w:r>
        <w:rPr>
          <w:sz w:val="21"/>
          <w:szCs w:val="21"/>
        </w:rPr>
        <w:t xml:space="preserve">Copiar una especificación existente como base para una nueva</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Los bloques que se muestran en la ficha de una especificación (Muestras, Análisis de laboratorio, Muestreo físico, Testigos) se ajustan automáticamente según el subarticulo del artículo — no hace falta tocar nada a mano en la mayoría de los casos.</w:t>
      </w:r>
    </w:p>
    <w:p>
      <w:pPr>
        <w:spacing w:after="100" w:before="240"/>
      </w:pPr>
      <w:r>
        <w:rPr>
          <w:b/>
          <w:bCs/>
          <w:sz w:val="23"/>
          <w:szCs w:val="23"/>
        </w:rPr>
        <w:t xml:space="preserve">6.2 Testigos y Estándares</w:t>
      </w:r>
    </w:p>
    <w:p>
      <w:pPr>
        <w:pStyle w:val="ListParagraph"/>
        <w:numPr>
          <w:ilvl w:val="0"/>
          <w:numId w:val="1"/>
        </w:numPr>
        <w:spacing w:after="60"/>
      </w:pPr>
      <w:r>
        <w:rPr>
          <w:sz w:val="21"/>
          <w:szCs w:val="21"/>
        </w:rPr>
        <w:t xml:space="preserve">Crear y editar testigos con sus datos (código/IR, nombre, lote, vencimiento, stock)</w:t>
      </w:r>
    </w:p>
    <w:p>
      <w:pPr>
        <w:pStyle w:val="ListParagraph"/>
        <w:numPr>
          <w:ilvl w:val="0"/>
          <w:numId w:val="1"/>
        </w:numPr>
        <w:spacing w:after="60"/>
      </w:pPr>
      <w:r>
        <w:rPr>
          <w:sz w:val="21"/>
          <w:szCs w:val="21"/>
        </w:rPr>
        <w:t xml:space="preserve">Asignar laboratorios a cada testigo, con la fecha real de envío a cada uno</w:t>
      </w:r>
    </w:p>
    <w:p>
      <w:pPr>
        <w:pStyle w:val="ListParagraph"/>
        <w:numPr>
          <w:ilvl w:val="0"/>
          <w:numId w:val="1"/>
        </w:numPr>
        <w:spacing w:after="60"/>
      </w:pPr>
      <w:r>
        <w:rPr>
          <w:sz w:val="21"/>
          <w:szCs w:val="21"/>
        </w:rPr>
        <w:t xml:space="preserve">Adjuntar certificados analíticos en PDF</w:t>
      </w:r>
    </w:p>
    <w:p>
      <w:pPr>
        <w:pStyle w:val="ListParagraph"/>
        <w:numPr>
          <w:ilvl w:val="0"/>
          <w:numId w:val="1"/>
        </w:numPr>
        <w:spacing w:after="60"/>
      </w:pPr>
      <w:r>
        <w:rPr>
          <w:sz w:val="21"/>
          <w:szCs w:val="21"/>
        </w:rPr>
        <w:t xml:space="preserve">Generar remitos de envío de testigos a laboratorios</w:t>
      </w:r>
    </w:p>
    <w:p>
      <w:pPr>
        <w:pStyle w:val="ListParagraph"/>
        <w:numPr>
          <w:ilvl w:val="0"/>
          <w:numId w:val="1"/>
        </w:numPr>
        <w:spacing w:after="60"/>
      </w:pPr>
      <w:r>
        <w:rPr>
          <w:sz w:val="21"/>
          <w:szCs w:val="21"/>
        </w:rPr>
        <w:t xml:space="preserve">Ver el historial de envíos de cada testigo</w:t>
      </w:r>
    </w:p>
    <w:p>
      <w:pPr>
        <w:spacing w:after="100" w:before="240"/>
      </w:pPr>
      <w:r>
        <w:rPr>
          <w:b/>
          <w:bCs/>
          <w:sz w:val="23"/>
          <w:szCs w:val="23"/>
        </w:rPr>
        <w:t xml:space="preserve">6.3 Laboratorios y Catálogo de Ensayos</w:t>
      </w:r>
    </w:p>
    <w:p>
      <w:pPr>
        <w:spacing w:after="120"/>
      </w:pPr>
      <w:r>
        <w:rPr>
          <w:sz w:val="21"/>
          <w:szCs w:val="21"/>
        </w:rPr>
        <w:t xml:space="preserve">Gestión de laboratorios (datos de contacto) y del catálogo maestro de ensayos analíticos, igual que antes.</w:t>
      </w:r>
    </w:p>
    <w:p>
      <w:pPr>
        <w:pBdr>
          <w:bottom w:val="single" w:color="1F3864" w:sz="6" w:space="4"/>
        </w:pBdr>
        <w:spacing w:after="140" w:before="360"/>
      </w:pPr>
      <w:r>
        <w:rPr>
          <w:b/>
          <w:bCs/>
          <w:color w:val="1F3864"/>
          <w:sz w:val="26"/>
          <w:szCs w:val="26"/>
        </w:rPr>
        <w:t xml:space="preserve">7. Remitos de Testigos</w:t>
      </w:r>
    </w:p>
    <w:p>
      <w:pPr>
        <w:spacing w:after="120"/>
      </w:pPr>
      <w:r>
        <w:rPr>
          <w:sz w:val="21"/>
          <w:szCs w:val="21"/>
        </w:rPr>
        <w:t xml:space="preserve">Cuando se envían testigos a un laboratorio, se genera un remito de testigos separado del remito de muestras.</w:t>
      </w:r>
    </w:p>
    <w:p>
      <w:pPr>
        <w:spacing w:after="60"/>
        <w:ind w:left="360"/>
      </w:pPr>
      <w:r>
        <w:rPr>
          <w:b/>
          <w:bCs/>
          <w:sz w:val="21"/>
          <w:szCs w:val="21"/>
        </w:rPr>
        <w:t xml:space="preserve">1. </w:t>
      </w:r>
      <w:r>
        <w:rPr>
          <w:sz w:val="21"/>
          <w:szCs w:val="21"/>
        </w:rPr>
        <w:t xml:space="preserve">Ir a Definiciones → Testigos → "Remitos de testigos"</w:t>
      </w:r>
    </w:p>
    <w:p>
      <w:pPr>
        <w:spacing w:after="60"/>
        <w:ind w:left="360"/>
      </w:pPr>
      <w:r>
        <w:rPr>
          <w:b/>
          <w:bCs/>
          <w:sz w:val="21"/>
          <w:szCs w:val="21"/>
        </w:rPr>
        <w:t xml:space="preserve">2. </w:t>
      </w:r>
      <w:r>
        <w:rPr>
          <w:sz w:val="21"/>
          <w:szCs w:val="21"/>
        </w:rPr>
        <w:t xml:space="preserve">Hacé clic en "Nuevo remito"</w:t>
      </w:r>
    </w:p>
    <w:p>
      <w:pPr>
        <w:spacing w:after="60"/>
        <w:ind w:left="360"/>
      </w:pPr>
      <w:r>
        <w:rPr>
          <w:b/>
          <w:bCs/>
          <w:sz w:val="21"/>
          <w:szCs w:val="21"/>
        </w:rPr>
        <w:t xml:space="preserve">3. </w:t>
      </w:r>
      <w:r>
        <w:rPr>
          <w:sz w:val="21"/>
          <w:szCs w:val="21"/>
        </w:rPr>
        <w:t xml:space="preserve">Seleccioná el laboratorio destino</w:t>
      </w:r>
    </w:p>
    <w:p>
      <w:pPr>
        <w:spacing w:after="60"/>
        <w:ind w:left="360"/>
      </w:pPr>
      <w:r>
        <w:rPr>
          <w:b/>
          <w:bCs/>
          <w:sz w:val="21"/>
          <w:szCs w:val="21"/>
        </w:rPr>
        <w:t xml:space="preserve">4. </w:t>
      </w:r>
      <w:r>
        <w:rPr>
          <w:sz w:val="21"/>
          <w:szCs w:val="21"/>
        </w:rPr>
        <w:t xml:space="preserve">Seleccioná los testigos a enviar con sus cantidades</w:t>
      </w:r>
    </w:p>
    <w:p>
      <w:pPr>
        <w:spacing w:after="60"/>
        <w:ind w:left="360"/>
      </w:pPr>
      <w:r>
        <w:rPr>
          <w:b/>
          <w:bCs/>
          <w:sz w:val="21"/>
          <w:szCs w:val="21"/>
        </w:rPr>
        <w:t xml:space="preserve">5. </w:t>
      </w:r>
      <w:r>
        <w:rPr>
          <w:sz w:val="21"/>
          <w:szCs w:val="21"/>
        </w:rPr>
        <w:t xml:space="preserve">Hacé clic en "Generar remito y PDF"</w:t>
      </w:r>
    </w:p>
    <w:p>
      <w:pPr>
        <w:spacing w:after="120"/>
      </w:pPr>
      <w:r>
        <w:rPr>
          <w:sz w:val="21"/>
          <w:szCs w:val="21"/>
        </w:rPr>
        <w:t xml:space="preserve">El PDF incluye dos copias del remito más los certificados analíticos de cada testigo (si están cargados en el sistema), con la fecha real de envío de cada testigo.</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Al confirmar el remito se descuenta el stock de cada testigo enviado.</w:t>
      </w:r>
    </w:p>
    <w:p>
      <w:pPr>
        <w:pBdr>
          <w:bottom w:val="single" w:color="1F3864" w:sz="6" w:space="4"/>
        </w:pBdr>
        <w:spacing w:after="140" w:before="360"/>
      </w:pPr>
      <w:r>
        <w:rPr>
          <w:b/>
          <w:bCs/>
          <w:color w:val="1F3864"/>
          <w:sz w:val="26"/>
          <w:szCs w:val="26"/>
        </w:rPr>
        <w:t xml:space="preserve">8. Consulta de Muestras</w:t>
      </w:r>
    </w:p>
    <w:p>
      <w:pPr>
        <w:spacing w:after="120"/>
      </w:pPr>
      <w:r>
        <w:rPr>
          <w:sz w:val="21"/>
          <w:szCs w:val="21"/>
        </w:rPr>
        <w:t xml:space="preserve">Desde "Consulta de Muestras" podés ver el estado de todas las muestras y acceder al recorrido completo de cada una, además de reimprimir cualquier etiqueta (PDF o impresora de código de barras).</w:t>
      </w:r>
    </w:p>
    <w:p>
      <w:pPr>
        <w:spacing w:after="120"/>
      </w:pPr>
      <w:r>
        <w:rPr>
          <w:sz w:val="21"/>
          <w:szCs w:val="21"/>
        </w:rPr>
        <w:t xml:space="preserve">El "Recorrido de Muestra" muestra la trazabilidad completa: solicitud de muestreo, checklist de muestreo físico, envíos realizados, resultados cargados y dictamen final.</w:t>
      </w:r>
    </w:p>
    <w:p>
      <w:pPr>
        <w:spacing w:before="480"/>
        <w:jc w:val="center"/>
      </w:pPr>
      <w:r>
        <w:rPr>
          <w:i/>
          <w:iCs/>
          <w:color w:val="595959"/>
          <w:sz w:val="18"/>
          <w:szCs w:val="18"/>
        </w:rPr>
        <w:t xml:space="preserve">Fin del manual · LIMSS v2.1 · Rol: Analista QC · Laboratorio Lamar SRL · Agosto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2026-08-26T17:50:37.183Z</dcterms:created>
  <dcterms:modified xsi:type="dcterms:W3CDTF">2026-08-26T17:50:37.183Z</dcterms:modified>
</cp:coreProperties>
</file>

<file path=docProps/custom.xml><?xml version="1.0" encoding="utf-8"?>
<Properties xmlns="http://schemas.openxmlformats.org/officeDocument/2006/custom-properties" xmlns:vt="http://schemas.openxmlformats.org/officeDocument/2006/docPropsVTypes"/>
</file>