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4"/>
          <w:szCs w:val="24"/>
        </w:rPr>
        <w:t xml:space="preserve">LABORATORIO LAMAR SRL</w:t>
      </w:r>
    </w:p>
    <w:p>
      <w:pPr>
        <w:spacing w:after="60"/>
      </w:pPr>
      <w:r>
        <w:rPr>
          <w:b/>
          <w:bCs/>
          <w:color w:val="1F3864"/>
          <w:sz w:val="44"/>
          <w:szCs w:val="44"/>
        </w:rPr>
        <w:t xml:space="preserve">LIMSS</w:t>
      </w:r>
    </w:p>
    <w:p>
      <w:pPr>
        <w:spacing w:after="240"/>
      </w:pPr>
      <w:r>
        <w:rPr>
          <w:color w:val="595959"/>
          <w:sz w:val="24"/>
          <w:szCs w:val="24"/>
        </w:rPr>
        <w:t xml:space="preserve">Sistema de Gestión de Análisis Externos</w:t>
      </w:r>
    </w:p>
    <w:p>
      <w:pPr>
        <w:spacing w:after="60"/>
      </w:pPr>
      <w:r>
        <w:rPr>
          <w:b/>
          <w:bCs/>
          <w:sz w:val="28"/>
          <w:szCs w:val="28"/>
        </w:rPr>
        <w:t xml:space="preserve">MANUAL DE USUARIO</w:t>
      </w:r>
    </w:p>
    <w:p>
      <w:pPr>
        <w:spacing w:after="120"/>
      </w:pPr>
      <w:r>
        <w:rPr>
          <w:b/>
          <w:bCs/>
          <w:color w:val="1F3864"/>
          <w:sz w:val="24"/>
          <w:szCs w:val="24"/>
        </w:rPr>
        <w:t xml:space="preserve">ROL: QA / DIRECTOR TÉCNICO</w:t>
      </w:r>
    </w:p>
    <w:p>
      <w:pPr>
        <w:spacing w:after="480"/>
      </w:pPr>
      <w:r>
        <w:rPr>
          <w:i/>
          <w:iCs/>
          <w:color w:val="595959"/>
          <w:sz w:val="20"/>
          <w:szCs w:val="20"/>
        </w:rPr>
        <w:t xml:space="preserve">Versión 2.1 · Agosto 2026</w:t>
      </w:r>
    </w:p>
    <w:p>
      <w:pPr>
        <w:spacing w:after="160"/>
      </w:pPr>
      <w:r>
        <w:rPr>
          <w:b/>
          <w:bCs/>
          <w:sz w:val="22"/>
          <w:szCs w:val="22"/>
        </w:rPr>
        <w:t xml:space="preserve">CONTENIDO</w:t>
      </w:r>
    </w:p>
    <w:p>
      <w:pPr>
        <w:spacing w:after="60"/>
      </w:pPr>
      <w:r>
        <w:rPr>
          <w:sz w:val="21"/>
          <w:szCs w:val="21"/>
        </w:rPr>
        <w:t xml:space="preserve">1. Responsabilidades del QA</w:t>
      </w:r>
    </w:p>
    <w:p>
      <w:pPr>
        <w:spacing w:after="60"/>
      </w:pPr>
      <w:r>
        <w:rPr>
          <w:sz w:val="21"/>
          <w:szCs w:val="21"/>
        </w:rPr>
        <w:t xml:space="preserve">2. Panel de estado del sistema</w:t>
      </w:r>
    </w:p>
    <w:p>
      <w:pPr>
        <w:spacing w:after="60"/>
      </w:pPr>
      <w:r>
        <w:rPr>
          <w:sz w:val="21"/>
          <w:szCs w:val="21"/>
        </w:rPr>
        <w:t xml:space="preserve">3. Solicitudes de Muestreo</w:t>
      </w:r>
    </w:p>
    <w:p>
      <w:pPr>
        <w:spacing w:after="60"/>
      </w:pPr>
      <w:r>
        <w:rPr>
          <w:sz w:val="21"/>
          <w:szCs w:val="21"/>
        </w:rPr>
        <w:t xml:space="preserve">4. Agente de Muestreo (ERP → LIMSS)</w:t>
      </w:r>
    </w:p>
    <w:p>
      <w:pPr>
        <w:spacing w:after="60"/>
      </w:pPr>
      <w:r>
        <w:rPr>
          <w:sz w:val="21"/>
          <w:szCs w:val="21"/>
        </w:rPr>
        <w:t xml:space="preserve">5. Dictamen QA</w:t>
      </w:r>
    </w:p>
    <w:p>
      <w:pPr>
        <w:spacing w:after="60"/>
      </w:pPr>
      <w:r>
        <w:rPr>
          <w:sz w:val="21"/>
          <w:szCs w:val="21"/>
        </w:rPr>
        <w:t xml:space="preserve">6. Datos Maestros</w:t>
      </w:r>
    </w:p>
    <w:p>
      <w:pPr>
        <w:spacing w:after="60"/>
      </w:pPr>
      <w:r>
        <w:rPr>
          <w:sz w:val="21"/>
          <w:szCs w:val="21"/>
        </w:rPr>
        <w:t xml:space="preserve">7. Facturación de Laboratorios</w:t>
      </w:r>
    </w:p>
    <w:p>
      <w:pPr>
        <w:spacing w:after="60"/>
      </w:pPr>
      <w:r>
        <w:rPr>
          <w:sz w:val="21"/>
          <w:szCs w:val="21"/>
        </w:rPr>
        <w:t xml:space="preserve">8. Libro de Ingresos</w:t>
      </w:r>
    </w:p>
    <w:p>
      <w:pPr>
        <w:spacing w:after="60"/>
      </w:pPr>
      <w:r>
        <w:rPr>
          <w:sz w:val="21"/>
          <w:szCs w:val="21"/>
        </w:rPr>
        <w:t xml:space="preserve">9. Archivo de Contramuestras</w:t>
      </w:r>
    </w:p>
    <w:p>
      <w:pPr>
        <w:spacing w:after="60"/>
      </w:pPr>
      <w:r>
        <w:rPr>
          <w:sz w:val="21"/>
          <w:szCs w:val="21"/>
        </w:rPr>
        <w:t xml:space="preserve">10. Reporte de recorrido de muestra</w:t>
      </w:r>
    </w:p>
    <w:p>
      <w:pPr>
        <w:spacing w:after="240"/>
      </w:pPr>
    </w:p>
    <w:p>
      <w:pPr>
        <w:pBdr>
          <w:bottom w:val="single" w:color="1F3864" w:sz="6" w:space="4"/>
        </w:pBdr>
        <w:spacing w:after="140" w:before="360"/>
      </w:pPr>
      <w:r>
        <w:rPr>
          <w:b/>
          <w:bCs/>
          <w:color w:val="1F3864"/>
          <w:sz w:val="26"/>
          <w:szCs w:val="26"/>
        </w:rPr>
        <w:t xml:space="preserve">1. Responsabilidades del QA</w:t>
      </w:r>
    </w:p>
    <w:p>
      <w:pPr>
        <w:spacing w:after="120"/>
      </w:pPr>
      <w:r>
        <w:rPr>
          <w:sz w:val="21"/>
          <w:szCs w:val="21"/>
        </w:rPr>
        <w:t xml:space="preserve">El QA (Quality Assurance) tiene acceso completo al sistema. Sus responsabilidades exclusivas son:</w:t>
      </w:r>
    </w:p>
    <w:p>
      <w:pPr>
        <w:pStyle w:val="ListParagraph"/>
        <w:numPr>
          <w:ilvl w:val="0"/>
          <w:numId w:val="1"/>
        </w:numPr>
        <w:spacing w:after="60"/>
      </w:pPr>
      <w:r>
        <w:rPr>
          <w:sz w:val="21"/>
          <w:szCs w:val="21"/>
        </w:rPr>
        <w:t xml:space="preserve">Crear solicitudes de muestreo y asignarlas a muestreadores (a mano o supervisando al Agente de Muestreo automático)</w:t>
      </w:r>
    </w:p>
    <w:p>
      <w:pPr>
        <w:pStyle w:val="ListParagraph"/>
        <w:numPr>
          <w:ilvl w:val="0"/>
          <w:numId w:val="1"/>
        </w:numPr>
        <w:spacing w:after="60"/>
      </w:pPr>
      <w:r>
        <w:rPr>
          <w:sz w:val="21"/>
          <w:szCs w:val="21"/>
        </w:rPr>
        <w:t xml:space="preserve">Revisar todos los resultados analíticos de una muestra</w:t>
      </w:r>
    </w:p>
    <w:p>
      <w:pPr>
        <w:pStyle w:val="ListParagraph"/>
        <w:numPr>
          <w:ilvl w:val="0"/>
          <w:numId w:val="1"/>
        </w:numPr>
        <w:spacing w:after="60"/>
      </w:pPr>
      <w:r>
        <w:rPr>
          <w:sz w:val="21"/>
          <w:szCs w:val="21"/>
        </w:rPr>
        <w:t xml:space="preserve">Emitir el dictamen final: APROBADO, RECHAZADO o CUARENTENA</w:t>
      </w:r>
    </w:p>
    <w:p>
      <w:pPr>
        <w:spacing w:after="120"/>
      </w:pPr>
      <w:r>
        <w:rPr>
          <w:sz w:val="21"/>
          <w:szCs w:val="21"/>
        </w:rPr>
        <w:t xml:space="preserve">El dictamen tiene validez legal equivalente a una firma manuscrita.</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El dictamen requiere la reintroducción del PIN del QA como firma electrónica.</w:t>
      </w:r>
    </w:p>
    <w:p>
      <w:pPr>
        <w:pBdr>
          <w:bottom w:val="single" w:color="1F3864" w:sz="6" w:space="4"/>
        </w:pBdr>
        <w:spacing w:after="140" w:before="360"/>
      </w:pPr>
      <w:r>
        <w:rPr>
          <w:b/>
          <w:bCs/>
          <w:color w:val="1F3864"/>
          <w:sz w:val="26"/>
          <w:szCs w:val="26"/>
        </w:rPr>
        <w:t xml:space="preserve">2. Panel de estado del sistema</w:t>
      </w:r>
    </w:p>
    <w:p>
      <w:pPr>
        <w:spacing w:after="120"/>
      </w:pPr>
      <w:r>
        <w:rPr>
          <w:sz w:val="21"/>
          <w:szCs w:val="21"/>
        </w:rPr>
        <w:t xml:space="preserve">Al ingresar, el QA ve el panel completo de estado del sistema:</w:t>
      </w:r>
    </w:p>
    <w:p>
      <w:pPr>
        <w:pStyle w:val="ListParagraph"/>
        <w:numPr>
          <w:ilvl w:val="0"/>
          <w:numId w:val="1"/>
        </w:numPr>
        <w:spacing w:after="60"/>
      </w:pPr>
      <w:r>
        <w:rPr>
          <w:sz w:val="21"/>
          <w:szCs w:val="21"/>
        </w:rPr>
        <w:t xml:space="preserve">Solicitudes pendientes: muestreos sin ejecutar</w:t>
      </w:r>
    </w:p>
    <w:p>
      <w:pPr>
        <w:pStyle w:val="ListParagraph"/>
        <w:numPr>
          <w:ilvl w:val="0"/>
          <w:numId w:val="1"/>
        </w:numPr>
        <w:spacing w:after="60"/>
      </w:pPr>
      <w:r>
        <w:rPr>
          <w:sz w:val="21"/>
          <w:szCs w:val="21"/>
        </w:rPr>
        <w:t xml:space="preserve">Muestras en proceso: en análisis o pendientes de envío</w:t>
      </w:r>
    </w:p>
    <w:p>
      <w:pPr>
        <w:pStyle w:val="ListParagraph"/>
        <w:numPr>
          <w:ilvl w:val="0"/>
          <w:numId w:val="1"/>
        </w:numPr>
        <w:spacing w:after="60"/>
      </w:pPr>
      <w:r>
        <w:rPr>
          <w:sz w:val="21"/>
          <w:szCs w:val="21"/>
        </w:rPr>
        <w:t xml:space="preserve">Resultados pendientes: envíos sin resultados cargados</w:t>
      </w:r>
    </w:p>
    <w:p>
      <w:pPr>
        <w:pStyle w:val="ListParagraph"/>
        <w:numPr>
          <w:ilvl w:val="0"/>
          <w:numId w:val="1"/>
        </w:numPr>
        <w:spacing w:after="60"/>
      </w:pPr>
      <w:r>
        <w:rPr>
          <w:sz w:val="21"/>
          <w:szCs w:val="21"/>
        </w:rPr>
        <w:t xml:space="preserve">Dictámenes pendientes: muestras listas para dictar</w:t>
      </w:r>
    </w:p>
    <w:p>
      <w:pPr>
        <w:pStyle w:val="ListParagraph"/>
        <w:numPr>
          <w:ilvl w:val="0"/>
          <w:numId w:val="1"/>
        </w:numPr>
        <w:spacing w:after="60"/>
      </w:pPr>
      <w:r>
        <w:rPr>
          <w:sz w:val="21"/>
          <w:szCs w:val="21"/>
        </w:rPr>
        <w:t xml:space="preserve">Testigos por vencer: alertas de vencimiento con filtros configurables</w:t>
      </w:r>
    </w:p>
    <w:p>
      <w:pPr>
        <w:pStyle w:val="ListParagraph"/>
        <w:numPr>
          <w:ilvl w:val="0"/>
          <w:numId w:val="1"/>
        </w:numPr>
        <w:spacing w:after="60"/>
      </w:pPr>
      <w:r>
        <w:rPr>
          <w:sz w:val="21"/>
          <w:szCs w:val="21"/>
        </w:rPr>
        <w:t xml:space="preserve">Solicitudes sin ejecutar: muestreos asignados sin ejecutar</w:t>
      </w:r>
    </w:p>
    <w:p>
      <w:pPr>
        <w:spacing w:after="120"/>
      </w:pPr>
      <w:r>
        <w:rPr>
          <w:sz w:val="21"/>
          <w:szCs w:val="21"/>
        </w:rPr>
        <w:t xml:space="preserve">Los accesos del Dashboard ahora están agrupados en submenús: "Muestras" (Solicitud de Muestreo, Nueva Muestra, Consulta de Muestras, Agente de Muestreo) y "Definiciones" (Categorías de Testigos, Orígenes, Catálogo de Ensayos, Testigos, Especificaciones, Laboratorios).</w:t>
      </w:r>
    </w:p>
    <w:p>
      <w:pPr>
        <w:pBdr>
          <w:bottom w:val="single" w:color="1F3864" w:sz="6" w:space="4"/>
        </w:pBdr>
        <w:spacing w:after="140" w:before="360"/>
      </w:pPr>
      <w:r>
        <w:rPr>
          <w:b/>
          <w:bCs/>
          <w:color w:val="1F3864"/>
          <w:sz w:val="26"/>
          <w:szCs w:val="26"/>
        </w:rPr>
        <w:t xml:space="preserve">3. Solicitudes de Muestreo</w:t>
      </w:r>
    </w:p>
    <w:p>
      <w:pPr>
        <w:spacing w:after="100" w:before="240"/>
      </w:pPr>
      <w:r>
        <w:rPr>
          <w:b/>
          <w:bCs/>
          <w:sz w:val="23"/>
          <w:szCs w:val="23"/>
        </w:rPr>
        <w:t xml:space="preserve">3.1 Crear una solicitud de muestreo</w:t>
      </w:r>
    </w:p>
    <w:p>
      <w:pPr>
        <w:spacing w:after="60"/>
        <w:ind w:left="360"/>
      </w:pPr>
      <w:r>
        <w:rPr>
          <w:b/>
          <w:bCs/>
          <w:sz w:val="21"/>
          <w:szCs w:val="21"/>
        </w:rPr>
        <w:t xml:space="preserve">1. </w:t>
      </w:r>
      <w:r>
        <w:rPr>
          <w:sz w:val="21"/>
          <w:szCs w:val="21"/>
        </w:rPr>
        <w:t xml:space="preserve">Ir a Muestras → "Solicitudes de Muestreo" → "+ Nueva solicitud"</w:t>
      </w:r>
    </w:p>
    <w:p>
      <w:pPr>
        <w:spacing w:after="60"/>
        <w:ind w:left="360"/>
      </w:pPr>
      <w:r>
        <w:rPr>
          <w:b/>
          <w:bCs/>
          <w:sz w:val="21"/>
          <w:szCs w:val="21"/>
        </w:rPr>
        <w:t xml:space="preserve">2. </w:t>
      </w:r>
      <w:r>
        <w:rPr>
          <w:sz w:val="21"/>
          <w:szCs w:val="21"/>
        </w:rPr>
        <w:t xml:space="preserve">Ingresar el N° de IR — el sistema carga los datos del ERP automáticamente</w:t>
      </w:r>
    </w:p>
    <w:p>
      <w:pPr>
        <w:spacing w:after="60"/>
        <w:ind w:left="360"/>
      </w:pPr>
      <w:r>
        <w:rPr>
          <w:b/>
          <w:bCs/>
          <w:sz w:val="21"/>
          <w:szCs w:val="21"/>
        </w:rPr>
        <w:t xml:space="preserve">3. </w:t>
      </w:r>
      <w:r>
        <w:rPr>
          <w:sz w:val="21"/>
          <w:szCs w:val="21"/>
        </w:rPr>
        <w:t xml:space="preserve">Verificar proveedor y lote (se cargan del ERP)</w:t>
      </w:r>
    </w:p>
    <w:p>
      <w:pPr>
        <w:spacing w:after="60"/>
        <w:ind w:left="360"/>
      </w:pPr>
      <w:r>
        <w:rPr>
          <w:b/>
          <w:bCs/>
          <w:sz w:val="21"/>
          <w:szCs w:val="21"/>
        </w:rPr>
        <w:t xml:space="preserve">4. </w:t>
      </w:r>
      <w:r>
        <w:rPr>
          <w:sz w:val="21"/>
          <w:szCs w:val="21"/>
        </w:rPr>
        <w:t xml:space="preserve">Completar datos adicionales: país de origen, fabricante, metodología</w:t>
      </w:r>
    </w:p>
    <w:p>
      <w:pPr>
        <w:spacing w:after="60"/>
        <w:ind w:left="360"/>
      </w:pPr>
      <w:r>
        <w:rPr>
          <w:b/>
          <w:bCs/>
          <w:sz w:val="21"/>
          <w:szCs w:val="21"/>
        </w:rPr>
        <w:t xml:space="preserve">5. </w:t>
      </w:r>
      <w:r>
        <w:rPr>
          <w:sz w:val="21"/>
          <w:szCs w:val="21"/>
        </w:rPr>
        <w:t xml:space="preserve">Cargar los grupos de bultos (cantidad de bultos x cantidad de unidades cada uno)</w:t>
      </w:r>
    </w:p>
    <w:p>
      <w:pPr>
        <w:spacing w:after="60"/>
        <w:ind w:left="360"/>
      </w:pPr>
      <w:r>
        <w:rPr>
          <w:b/>
          <w:bCs/>
          <w:sz w:val="21"/>
          <w:szCs w:val="21"/>
        </w:rPr>
        <w:t xml:space="preserve">6. </w:t>
      </w:r>
      <w:r>
        <w:rPr>
          <w:sz w:val="21"/>
          <w:szCs w:val="21"/>
        </w:rPr>
        <w:t xml:space="preserve">Cargar fecha y N° de factura del proveedor, y los usuarios que recibieron y rotularon el material</w:t>
      </w:r>
    </w:p>
    <w:p>
      <w:pPr>
        <w:spacing w:after="60"/>
        <w:ind w:left="360"/>
      </w:pPr>
      <w:r>
        <w:rPr>
          <w:b/>
          <w:bCs/>
          <w:sz w:val="21"/>
          <w:szCs w:val="21"/>
        </w:rPr>
        <w:t xml:space="preserve">7. </w:t>
      </w:r>
      <w:r>
        <w:rPr>
          <w:sz w:val="21"/>
          <w:szCs w:val="21"/>
        </w:rPr>
        <w:t xml:space="preserve">Seleccionar el laboratorio de análisis</w:t>
      </w:r>
    </w:p>
    <w:p>
      <w:pPr>
        <w:spacing w:after="60"/>
        <w:ind w:left="360"/>
      </w:pPr>
      <w:r>
        <w:rPr>
          <w:b/>
          <w:bCs/>
          <w:sz w:val="21"/>
          <w:szCs w:val="21"/>
        </w:rPr>
        <w:t xml:space="preserve">8. </w:t>
      </w:r>
      <w:r>
        <w:rPr>
          <w:sz w:val="21"/>
          <w:szCs w:val="21"/>
        </w:rPr>
        <w:t xml:space="preserve">Seleccionar el muestreador asignado</w:t>
      </w:r>
    </w:p>
    <w:p>
      <w:pPr>
        <w:spacing w:after="60"/>
        <w:ind w:left="360"/>
      </w:pPr>
      <w:r>
        <w:rPr>
          <w:b/>
          <w:bCs/>
          <w:sz w:val="21"/>
          <w:szCs w:val="21"/>
        </w:rPr>
        <w:t xml:space="preserve">9. </w:t>
      </w:r>
      <w:r>
        <w:rPr>
          <w:sz w:val="21"/>
          <w:szCs w:val="21"/>
        </w:rPr>
        <w:t xml:space="preserve">Verificar la tabla de muestras (análisis, contramuestra, testigo) con sus cantidades — se puede agregar una muestra adicional puntual si hace falta</w:t>
      </w:r>
    </w:p>
    <w:p>
      <w:pPr>
        <w:spacing w:after="60"/>
        <w:ind w:left="360"/>
      </w:pPr>
      <w:r>
        <w:rPr>
          <w:b/>
          <w:bCs/>
          <w:sz w:val="21"/>
          <w:szCs w:val="21"/>
        </w:rPr>
        <w:t xml:space="preserve">10. </w:t>
      </w:r>
      <w:r>
        <w:rPr>
          <w:sz w:val="21"/>
          <w:szCs w:val="21"/>
        </w:rPr>
        <w:t xml:space="preserve">Hacer clic en "Generar solicitud"</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Si la especificación no tiene cantidades de muestreo definidas, el sistema lo advierte. Completá las cantidades en Definiciones antes de continuar.</w:t>
      </w:r>
    </w:p>
    <w:p>
      <w:pPr>
        <w:spacing w:after="100" w:before="240"/>
      </w:pPr>
      <w:r>
        <w:rPr>
          <w:b/>
          <w:bCs/>
          <w:sz w:val="23"/>
          <w:szCs w:val="23"/>
        </w:rPr>
        <w:t xml:space="preserve">3.2 Seguimiento de solicitudes</w:t>
      </w:r>
    </w:p>
    <w:p>
      <w:pPr>
        <w:pStyle w:val="ListParagraph"/>
        <w:numPr>
          <w:ilvl w:val="0"/>
          <w:numId w:val="1"/>
        </w:numPr>
        <w:spacing w:after="60"/>
      </w:pPr>
      <w:r>
        <w:rPr>
          <w:sz w:val="21"/>
          <w:szCs w:val="21"/>
        </w:rPr>
        <w:t xml:space="preserve">Ver el estado de cada solicitud (Pendiente / Ejecutada / Anulada)</w:t>
      </w:r>
    </w:p>
    <w:p>
      <w:pPr>
        <w:pStyle w:val="ListParagraph"/>
        <w:numPr>
          <w:ilvl w:val="0"/>
          <w:numId w:val="1"/>
        </w:numPr>
        <w:spacing w:after="60"/>
      </w:pPr>
      <w:r>
        <w:rPr>
          <w:sz w:val="21"/>
          <w:szCs w:val="21"/>
        </w:rPr>
        <w:t xml:space="preserve">Descargar la Orden de Trabajo PDF</w:t>
      </w:r>
    </w:p>
    <w:p>
      <w:pPr>
        <w:pStyle w:val="ListParagraph"/>
        <w:numPr>
          <w:ilvl w:val="0"/>
          <w:numId w:val="1"/>
        </w:numPr>
        <w:spacing w:after="60"/>
      </w:pPr>
      <w:r>
        <w:rPr>
          <w:sz w:val="21"/>
          <w:szCs w:val="21"/>
        </w:rPr>
        <w:t xml:space="preserve">Descargar la Planilla de Muestreo PDF</w:t>
      </w:r>
    </w:p>
    <w:p>
      <w:pPr>
        <w:pStyle w:val="ListParagraph"/>
        <w:numPr>
          <w:ilvl w:val="0"/>
          <w:numId w:val="1"/>
        </w:numPr>
        <w:spacing w:after="60"/>
      </w:pPr>
      <w:r>
        <w:rPr>
          <w:sz w:val="21"/>
          <w:szCs w:val="21"/>
        </w:rPr>
        <w:t xml:space="preserve">Descargar o imprimir las etiquetas (PDF o impresora de código de barras)</w:t>
      </w:r>
    </w:p>
    <w:p>
      <w:pPr>
        <w:pStyle w:val="ListParagraph"/>
        <w:numPr>
          <w:ilvl w:val="0"/>
          <w:numId w:val="1"/>
        </w:numPr>
        <w:spacing w:after="60"/>
      </w:pPr>
      <w:r>
        <w:rPr>
          <w:sz w:val="21"/>
          <w:szCs w:val="21"/>
        </w:rPr>
        <w:t xml:space="preserve">Anular una solicitud pendiente (con motivo obligatorio)</w:t>
      </w:r>
    </w:p>
    <w:p>
      <w:pPr>
        <w:pBdr>
          <w:bottom w:val="single" w:color="1F3864" w:sz="6" w:space="4"/>
        </w:pBdr>
        <w:spacing w:after="140" w:before="360"/>
      </w:pPr>
      <w:r>
        <w:rPr>
          <w:b/>
          <w:bCs/>
          <w:color w:val="1F3864"/>
          <w:sz w:val="26"/>
          <w:szCs w:val="26"/>
        </w:rPr>
        <w:t xml:space="preserve">4. Agente de Muestreo (ERP → LIMSS)</w:t>
      </w:r>
    </w:p>
    <w:p>
      <w:pPr>
        <w:spacing w:after="120"/>
      </w:pPr>
      <w:r>
        <w:rPr>
          <w:sz w:val="21"/>
          <w:szCs w:val="21"/>
        </w:rPr>
        <w:t xml:space="preserve">El Agente de Muestreo revisa periódicamente los nuevos Informes de Recepción (IR) cargados en el ERP y genera solicitudes de muestreo automáticamente cuando corresponde, según la configuración de subarticulos.</w:t>
      </w:r>
    </w:p>
    <w:p>
      <w:pPr>
        <w:spacing w:after="100" w:before="240"/>
      </w:pPr>
      <w:r>
        <w:rPr>
          <w:b/>
          <w:bCs/>
          <w:sz w:val="23"/>
          <w:szCs w:val="23"/>
        </w:rPr>
        <w:t xml:space="preserve">4.1 Control de duplicados</w:t>
      </w:r>
    </w:p>
    <w:p>
      <w:pPr>
        <w:spacing w:after="120"/>
      </w:pPr>
      <w:r>
        <w:rPr>
          <w:sz w:val="21"/>
          <w:szCs w:val="21"/>
        </w:rPr>
        <w:t xml:space="preserve">El agente nunca genera una solicitud nueva para un IR que ya tiene una solicitud asociada — el criterio del sistema es conservador: ante cualquier duda, prefiere NO generar automáticamente antes que arriesgarse a duplicar. Si un IR necesita revisión manual, queda visible en el listado del agente para que alguien lo resuelva a mano.</w:t>
      </w:r>
    </w:p>
    <w:p>
      <w:pPr>
        <w:spacing w:after="100" w:before="240"/>
      </w:pPr>
      <w:r>
        <w:rPr>
          <w:b/>
          <w:bCs/>
          <w:sz w:val="23"/>
          <w:szCs w:val="23"/>
        </w:rPr>
        <w:t xml:space="preserve">4.2 Pantalla del agente</w:t>
      </w:r>
    </w:p>
    <w:p>
      <w:pPr>
        <w:spacing w:after="120"/>
      </w:pPr>
      <w:r>
        <w:rPr>
          <w:sz w:val="21"/>
          <w:szCs w:val="21"/>
        </w:rPr>
        <w:t xml:space="preserve">Desde Muestras → "Agente de Muestreo" podés ver el historial de evaluaciones del agente (comprobantes revisados, solicitudes generadas, y los que quedaron sin generar con el motivo), y reprocesar un comprobante puntual si hace falta.</w:t>
      </w:r>
    </w:p>
    <w:p>
      <w:pPr>
        <w:pBdr>
          <w:bottom w:val="single" w:color="1F3864" w:sz="6" w:space="4"/>
        </w:pBdr>
        <w:spacing w:after="140" w:before="360"/>
      </w:pPr>
      <w:r>
        <w:rPr>
          <w:b/>
          <w:bCs/>
          <w:color w:val="1F3864"/>
          <w:sz w:val="26"/>
          <w:szCs w:val="26"/>
        </w:rPr>
        <w:t xml:space="preserve">5. Dictamen QA</w:t>
      </w:r>
    </w:p>
    <w:p>
      <w:pPr>
        <w:spacing w:after="100" w:before="240"/>
      </w:pPr>
      <w:r>
        <w:rPr>
          <w:b/>
          <w:bCs/>
          <w:sz w:val="23"/>
          <w:szCs w:val="23"/>
        </w:rPr>
        <w:t xml:space="preserve">5.1 Cuándo se puede dictar</w:t>
      </w:r>
    </w:p>
    <w:p>
      <w:pPr>
        <w:spacing w:after="120"/>
      </w:pPr>
      <w:r>
        <w:rPr>
          <w:sz w:val="21"/>
          <w:szCs w:val="21"/>
        </w:rPr>
        <w:t xml:space="preserve">Una muestra está lista para dictamen cuando todos los ensayos de todos los envíos tienen resultado cargado — o, si la especificación no tiene ningún ensayo de laboratorio (algunos casos de Material de Empaque), apenas se completa el checklist físico de muestreo. El sistema muestra automáticamente estas muestras en "Dictamen QA" → "Pendientes".</w:t>
      </w:r>
    </w:p>
    <w:p>
      <w:pPr>
        <w:spacing w:after="100" w:before="240"/>
      </w:pPr>
      <w:r>
        <w:rPr>
          <w:b/>
          <w:bCs/>
          <w:sz w:val="23"/>
          <w:szCs w:val="23"/>
        </w:rPr>
        <w:t xml:space="preserve">5.2 Proceso de dictamen</w:t>
      </w:r>
    </w:p>
    <w:p>
      <w:pPr>
        <w:spacing w:after="60"/>
        <w:ind w:left="360"/>
      </w:pPr>
      <w:r>
        <w:rPr>
          <w:b/>
          <w:bCs/>
          <w:sz w:val="21"/>
          <w:szCs w:val="21"/>
        </w:rPr>
        <w:t xml:space="preserve">1. </w:t>
      </w:r>
      <w:r>
        <w:rPr>
          <w:sz w:val="21"/>
          <w:szCs w:val="21"/>
        </w:rPr>
        <w:t xml:space="preserve">Ir a "Dictamen QA" → seleccionar la muestra</w:t>
      </w:r>
    </w:p>
    <w:p>
      <w:pPr>
        <w:spacing w:after="60"/>
        <w:ind w:left="360"/>
      </w:pPr>
      <w:r>
        <w:rPr>
          <w:b/>
          <w:bCs/>
          <w:sz w:val="21"/>
          <w:szCs w:val="21"/>
        </w:rPr>
        <w:t xml:space="preserve">2. </w:t>
      </w:r>
      <w:r>
        <w:rPr>
          <w:sz w:val="21"/>
          <w:szCs w:val="21"/>
        </w:rPr>
        <w:t xml:space="preserve">Revisar los resultados agrupados por origen (internos y por laboratorio)</w:t>
      </w:r>
    </w:p>
    <w:p>
      <w:pPr>
        <w:spacing w:after="60"/>
        <w:ind w:left="360"/>
      </w:pPr>
      <w:r>
        <w:rPr>
          <w:b/>
          <w:bCs/>
          <w:sz w:val="21"/>
          <w:szCs w:val="21"/>
        </w:rPr>
        <w:t xml:space="preserve">3. </w:t>
      </w:r>
      <w:r>
        <w:rPr>
          <w:sz w:val="21"/>
          <w:szCs w:val="21"/>
        </w:rPr>
        <w:t xml:space="preserve">Cada resultado muestra si está dentro o fuera de especificación</w:t>
      </w:r>
    </w:p>
    <w:p>
      <w:pPr>
        <w:spacing w:after="60"/>
        <w:ind w:left="360"/>
      </w:pPr>
      <w:r>
        <w:rPr>
          <w:b/>
          <w:bCs/>
          <w:sz w:val="21"/>
          <w:szCs w:val="21"/>
        </w:rPr>
        <w:t xml:space="preserve">4. </w:t>
      </w:r>
      <w:r>
        <w:rPr>
          <w:sz w:val="21"/>
          <w:szCs w:val="21"/>
        </w:rPr>
        <w:t xml:space="preserve">Si hay resultados fuera de especificación: completar la justificación técnica (obligatoria)</w:t>
      </w:r>
    </w:p>
    <w:p>
      <w:pPr>
        <w:spacing w:after="60"/>
        <w:ind w:left="360"/>
      </w:pPr>
      <w:r>
        <w:rPr>
          <w:b/>
          <w:bCs/>
          <w:sz w:val="21"/>
          <w:szCs w:val="21"/>
        </w:rPr>
        <w:t xml:space="preserve">5. </w:t>
      </w:r>
      <w:r>
        <w:rPr>
          <w:sz w:val="21"/>
          <w:szCs w:val="21"/>
        </w:rPr>
        <w:t xml:space="preserve">Seleccionar el dictamen: APROBADO / RECHAZADO / CUARENTENA</w:t>
      </w:r>
    </w:p>
    <w:p>
      <w:pPr>
        <w:spacing w:after="60"/>
        <w:ind w:left="360"/>
      </w:pPr>
      <w:r>
        <w:rPr>
          <w:b/>
          <w:bCs/>
          <w:sz w:val="21"/>
          <w:szCs w:val="21"/>
        </w:rPr>
        <w:t xml:space="preserve">6. </w:t>
      </w:r>
      <w:r>
        <w:rPr>
          <w:sz w:val="21"/>
          <w:szCs w:val="21"/>
        </w:rPr>
        <w:t xml:space="preserve">Agregar observaciones (opcional)</w:t>
      </w:r>
    </w:p>
    <w:p>
      <w:pPr>
        <w:spacing w:after="60"/>
        <w:ind w:left="360"/>
      </w:pPr>
      <w:r>
        <w:rPr>
          <w:b/>
          <w:bCs/>
          <w:sz w:val="21"/>
          <w:szCs w:val="21"/>
        </w:rPr>
        <w:t xml:space="preserve">7. </w:t>
      </w:r>
      <w:r>
        <w:rPr>
          <w:sz w:val="21"/>
          <w:szCs w:val="21"/>
        </w:rPr>
        <w:t xml:space="preserve">Reingresar tu PIN como firma electrónica</w:t>
      </w:r>
    </w:p>
    <w:p>
      <w:pPr>
        <w:spacing w:after="60"/>
        <w:ind w:left="360"/>
      </w:pPr>
      <w:r>
        <w:rPr>
          <w:b/>
          <w:bCs/>
          <w:sz w:val="21"/>
          <w:szCs w:val="21"/>
        </w:rPr>
        <w:t xml:space="preserve">8. </w:t>
      </w:r>
      <w:r>
        <w:rPr>
          <w:sz w:val="21"/>
          <w:szCs w:val="21"/>
        </w:rPr>
        <w:t xml:space="preserve">Hacer clic en "Firmar y dictar"</w:t>
      </w:r>
    </w:p>
    <w:p>
      <w:pPr>
        <w:pBdr>
          <w:left w:val="single" w:color="1F3864" w:sz="12" w:space="8"/>
        </w:pBdr>
        <w:shd w:fill="F2F2F2" w:val="clear"/>
        <w:spacing w:after="200" w:before="80"/>
        <w:ind w:left="360"/>
      </w:pPr>
      <w:r>
        <w:rPr>
          <w:sz w:val="21"/>
          <w:szCs w:val="21"/>
        </w:rPr>
        <w:t xml:space="preserve">📌 </w:t>
      </w:r>
      <w:r>
        <w:rPr>
          <w:i/>
          <w:iCs/>
          <w:color w:val="595959"/>
          <w:sz w:val="21"/>
          <w:szCs w:val="21"/>
        </w:rPr>
        <w:t xml:space="preserve">Al aprobar un lote, el estado se actualiza automáticamente en el sistema eBR, habilitando el lote para su uso en producción. Tené en cuenta que la etiqueta de Aprobado ya pudo haberse impreso antes del dictamen formal, apenas los resultados dieron bien (estado "Aprobado sin Dictamen") — el dictamen es el cierre formal del proceso, no el único momento en que se libera el material.</w:t>
      </w:r>
    </w:p>
    <w:p>
      <w:pPr>
        <w:spacing w:after="100" w:before="240"/>
      </w:pPr>
      <w:r>
        <w:rPr>
          <w:b/>
          <w:bCs/>
          <w:sz w:val="23"/>
          <w:szCs w:val="23"/>
        </w:rPr>
        <w:t xml:space="preserve">5.3 Estados del dictamen</w:t>
      </w:r>
    </w:p>
    <w:p>
      <w:pPr>
        <w:pStyle w:val="ListParagraph"/>
        <w:numPr>
          <w:ilvl w:val="0"/>
          <w:numId w:val="1"/>
        </w:numPr>
        <w:spacing w:after="60"/>
      </w:pPr>
      <w:r>
        <w:rPr>
          <w:sz w:val="21"/>
          <w:szCs w:val="21"/>
        </w:rPr>
        <w:t xml:space="preserve">APROBADO: el lote queda liberado para uso en planta</w:t>
      </w:r>
    </w:p>
    <w:p>
      <w:pPr>
        <w:pStyle w:val="ListParagraph"/>
        <w:numPr>
          <w:ilvl w:val="0"/>
          <w:numId w:val="1"/>
        </w:numPr>
        <w:spacing w:after="60"/>
      </w:pPr>
      <w:r>
        <w:rPr>
          <w:sz w:val="21"/>
          <w:szCs w:val="21"/>
        </w:rPr>
        <w:t xml:space="preserve">RECHAZADO: el lote queda bloqueado definitivamente</w:t>
      </w:r>
    </w:p>
    <w:p>
      <w:pPr>
        <w:pStyle w:val="ListParagraph"/>
        <w:numPr>
          <w:ilvl w:val="0"/>
          <w:numId w:val="1"/>
        </w:numPr>
        <w:spacing w:after="60"/>
      </w:pPr>
      <w:r>
        <w:rPr>
          <w:sz w:val="21"/>
          <w:szCs w:val="21"/>
        </w:rPr>
        <w:t xml:space="preserve">CUARENTENA: el lote queda retenido hasta nuevas instrucciones</w:t>
      </w:r>
    </w:p>
    <w:p>
      <w:pPr>
        <w:pBdr>
          <w:bottom w:val="single" w:color="1F3864" w:sz="6" w:space="4"/>
        </w:pBdr>
        <w:spacing w:after="140" w:before="360"/>
      </w:pPr>
      <w:r>
        <w:rPr>
          <w:b/>
          <w:bCs/>
          <w:color w:val="1F3864"/>
          <w:sz w:val="26"/>
          <w:szCs w:val="26"/>
        </w:rPr>
        <w:t xml:space="preserve">6. Datos Maestros</w:t>
      </w:r>
    </w:p>
    <w:p>
      <w:pPr>
        <w:spacing w:after="120"/>
      </w:pPr>
      <w:r>
        <w:rPr>
          <w:sz w:val="21"/>
          <w:szCs w:val="21"/>
        </w:rPr>
        <w:t xml:space="preserve">El QA tiene acceso completo a todos los datos maestros (menú "Definiciones"), incluyendo funciones de eliminación que el Analista QC no tiene.</w:t>
      </w:r>
    </w:p>
    <w:p>
      <w:pPr>
        <w:pStyle w:val="ListParagraph"/>
        <w:numPr>
          <w:ilvl w:val="0"/>
          <w:numId w:val="1"/>
        </w:numPr>
        <w:spacing w:after="60"/>
      </w:pPr>
      <w:r>
        <w:rPr>
          <w:sz w:val="21"/>
          <w:szCs w:val="21"/>
        </w:rPr>
        <w:t xml:space="preserve">Especificaciones: crear, editar y gestionar por tipo de material; asignar ensayos y checklist de muestreo; definir cantidades de muestreo; asociar testigos</w:t>
      </w:r>
    </w:p>
    <w:p>
      <w:pPr>
        <w:pStyle w:val="ListParagraph"/>
        <w:numPr>
          <w:ilvl w:val="0"/>
          <w:numId w:val="1"/>
        </w:numPr>
        <w:spacing w:after="60"/>
      </w:pPr>
      <w:r>
        <w:rPr>
          <w:sz w:val="21"/>
          <w:szCs w:val="21"/>
        </w:rPr>
        <w:t xml:space="preserve">Testigos: crear, editar y eliminar; asignar laboratorios con fecha real de envío; gestionar remitos; monitorear vencimientos</w:t>
      </w:r>
    </w:p>
    <w:p>
      <w:pPr>
        <w:pStyle w:val="ListParagraph"/>
        <w:numPr>
          <w:ilvl w:val="0"/>
          <w:numId w:val="1"/>
        </w:numPr>
        <w:spacing w:after="60"/>
      </w:pPr>
      <w:r>
        <w:rPr>
          <w:sz w:val="21"/>
          <w:szCs w:val="21"/>
        </w:rPr>
        <w:t xml:space="preserve">Subarticulos: configurar qué bloques de la ficha de especificación aplican a cada tipo de material, y los tipos de comprobante del ERP (IR, LOTE, etc.)</w:t>
      </w:r>
    </w:p>
    <w:p>
      <w:pPr>
        <w:pStyle w:val="ListParagraph"/>
        <w:numPr>
          <w:ilvl w:val="0"/>
          <w:numId w:val="1"/>
        </w:numPr>
        <w:spacing w:after="60"/>
      </w:pPr>
      <w:r>
        <w:rPr>
          <w:sz w:val="21"/>
          <w:szCs w:val="21"/>
        </w:rPr>
        <w:t xml:space="preserve">Impresoras de código de barras: configurar las impresoras SATO disponibles (compartidas por USB o de red directa)</w:t>
      </w:r>
    </w:p>
    <w:p>
      <w:pPr>
        <w:pBdr>
          <w:bottom w:val="single" w:color="1F3864" w:sz="6" w:space="4"/>
        </w:pBdr>
        <w:spacing w:after="140" w:before="360"/>
      </w:pPr>
      <w:r>
        <w:rPr>
          <w:b/>
          <w:bCs/>
          <w:color w:val="1F3864"/>
          <w:sz w:val="26"/>
          <w:szCs w:val="26"/>
        </w:rPr>
        <w:t xml:space="preserve">7. Facturación de Laboratorios</w:t>
      </w:r>
    </w:p>
    <w:p>
      <w:pPr>
        <w:spacing w:after="120"/>
      </w:pPr>
      <w:r>
        <w:rPr>
          <w:sz w:val="21"/>
          <w:szCs w:val="21"/>
        </w:rPr>
        <w:t xml:space="preserve">Desde "Facturación" se gestionan las facturas de los laboratorios externos por los ensayos realizados. Al abrir el detalle de una factura, cada línea de análisis facturado muestra también el N° de IR o LOTE de la muestra correspondiente, para poder identificarla rápido sin tener que buscarla aparte.</w:t>
      </w:r>
    </w:p>
    <w:p>
      <w:pPr>
        <w:pBdr>
          <w:bottom w:val="single" w:color="1F3864" w:sz="6" w:space="4"/>
        </w:pBdr>
        <w:spacing w:after="140" w:before="360"/>
      </w:pPr>
      <w:r>
        <w:rPr>
          <w:b/>
          <w:bCs/>
          <w:color w:val="1F3864"/>
          <w:sz w:val="26"/>
          <w:szCs w:val="26"/>
        </w:rPr>
        <w:t xml:space="preserve">8. Libro de Ingresos</w:t>
      </w:r>
    </w:p>
    <w:p>
      <w:pPr>
        <w:spacing w:after="120"/>
      </w:pPr>
      <w:r>
        <w:rPr>
          <w:sz w:val="21"/>
          <w:szCs w:val="21"/>
        </w:rPr>
        <w:t xml:space="preserve">Reporte con el registro histórico de todo lo recibido en el laboratorio (materias primas y material de empaque), con un número de análisis correlativo propio de este libro. Incluye, por cada ingreso: N° de análisis, fecha de ingreso, N° de IR, fecha de vencimiento, código y descripción del artículo, proveedor, fecha y N° de factura, lote del proveedor, cantidad total, detalle de bultos, usuarios que recibieron y rotularon, observaciones/estado, muestreador y fecha de muestreo.</w:t>
      </w:r>
    </w:p>
    <w:p>
      <w:pPr>
        <w:spacing w:after="120"/>
      </w:pPr>
      <w:r>
        <w:rPr>
          <w:sz w:val="21"/>
          <w:szCs w:val="21"/>
        </w:rPr>
        <w:t xml:space="preserve">Se puede filtrar por rango de fechas y exportar como documento imprimible para auditoría.</w:t>
      </w:r>
    </w:p>
    <w:p>
      <w:pPr>
        <w:pBdr>
          <w:bottom w:val="single" w:color="1F3864" w:sz="6" w:space="4"/>
        </w:pBdr>
        <w:spacing w:after="140" w:before="360"/>
      </w:pPr>
      <w:r>
        <w:rPr>
          <w:b/>
          <w:bCs/>
          <w:color w:val="1F3864"/>
          <w:sz w:val="26"/>
          <w:szCs w:val="26"/>
        </w:rPr>
        <w:t xml:space="preserve">9. Archivo de Contramuestras</w:t>
      </w:r>
    </w:p>
    <w:p>
      <w:pPr>
        <w:spacing w:after="120"/>
      </w:pPr>
      <w:r>
        <w:rPr>
          <w:sz w:val="21"/>
          <w:szCs w:val="21"/>
        </w:rPr>
        <w:t xml:space="preserve">Desde "Archivo de Contramuestras" se administran las cajas donde se guardan físicamente las contramuestras: alta y cierre de cajas, asignación de contramuestras a una caja, y reportes de contenido.</w:t>
      </w:r>
    </w:p>
    <w:p>
      <w:pPr>
        <w:pBdr>
          <w:bottom w:val="single" w:color="1F3864" w:sz="6" w:space="4"/>
        </w:pBdr>
        <w:spacing w:after="140" w:before="360"/>
      </w:pPr>
      <w:r>
        <w:rPr>
          <w:b/>
          <w:bCs/>
          <w:color w:val="1F3864"/>
          <w:sz w:val="26"/>
          <w:szCs w:val="26"/>
        </w:rPr>
        <w:t xml:space="preserve">10. Reporte de recorrido de muestra</w:t>
      </w:r>
    </w:p>
    <w:p>
      <w:pPr>
        <w:spacing w:after="120"/>
      </w:pPr>
      <w:r>
        <w:rPr>
          <w:sz w:val="21"/>
          <w:szCs w:val="21"/>
        </w:rPr>
        <w:t xml:space="preserve">Desde "Consulta de Muestras" → "Ver recorrido" podés acceder a la trazabilidad completa de cualquier muestra: datos de la solicitud, datos del muestreo físico, todos los envíos con sus remitos, resultados analíticos por envío y laboratorio, y dictamen final con firma del QA. Este reporte puede imprimirse como evidencia documental del proceso completo.</w:t>
      </w:r>
    </w:p>
    <w:p>
      <w:pPr>
        <w:spacing w:before="480"/>
        <w:jc w:val="center"/>
      </w:pPr>
      <w:r>
        <w:rPr>
          <w:i/>
          <w:iCs/>
          <w:color w:val="595959"/>
          <w:sz w:val="18"/>
          <w:szCs w:val="18"/>
        </w:rPr>
        <w:t xml:space="preserve">Fin del manual · LIMSS v2.1 · Rol: QA / Director Técnico · Laboratorio Lamar SRL · Agosto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2026-08-26T17:50:37.527Z</dcterms:created>
  <dcterms:modified xsi:type="dcterms:W3CDTF">2026-08-26T17:50:37.527Z</dcterms:modified>
</cp:coreProperties>
</file>

<file path=docProps/custom.xml><?xml version="1.0" encoding="utf-8"?>
<Properties xmlns="http://schemas.openxmlformats.org/officeDocument/2006/custom-properties" xmlns:vt="http://schemas.openxmlformats.org/officeDocument/2006/docPropsVTypes"/>
</file>