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40"/>
          <w:szCs w:val="40"/>
          <w:rtl w:val="0"/>
        </w:rPr>
        <w:t xml:space="preserve">Código ligando e desligando um led no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40"/>
          <w:szCs w:val="40"/>
          <w:rtl w:val="0"/>
        </w:rPr>
        <w:t xml:space="preserve">Para aplicação vamos usar: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40"/>
          <w:szCs w:val="40"/>
        </w:rPr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40"/>
          <w:szCs w:val="40"/>
          <w:rtl w:val="0"/>
        </w:rPr>
        <w:t xml:space="preserve">Organizando os componentes para a placa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40"/>
          <w:szCs w:val="40"/>
        </w:rPr>
        <w:drawing>
          <wp:inline distB="114300" distT="114300" distL="114300" distR="114300">
            <wp:extent cx="59436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40"/>
          <w:szCs w:val="40"/>
          <w:rtl w:val="0"/>
        </w:rPr>
        <w:t xml:space="preserve">código da aplicação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// C++ code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  pinMode(9, OUTPUT);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  pinMode(7, OUTPUT);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  pinMode(6, OUTPUT);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  digitalWrite(9, HIGH);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  delay(1000); // Aguarde 1000 millisecond(s) ligado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  digitalWrite(9, LOW);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  delay(1000); // Aguarde 1000 millisecond(s) desligado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40"/>
                <w:szCs w:val="4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0"/>
    <w:bookmarkEnd w:id="0"/>
    <w:r w:rsidDel="00000000" w:rsidR="00000000" w:rsidRPr="00000000">
      <w:rPr>
        <w:rtl w:val="0"/>
      </w:rPr>
    </w:r>
  </w:p>
  <w:tbl>
    <w:tblPr>
      <w:tblStyle w:val="Table2"/>
      <w:tblW w:w="12225.0" w:type="dxa"/>
      <w:jc w:val="left"/>
      <w:tblInd w:w="-14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160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1"/>
          <w:bookmarkEnd w:id="1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1"/>
          <w:bookmarkEnd w:id="1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pt_BR"/>
      </w:rPr>
    </w:rPrDefault>
    <w:pPrDefault>
      <w:pPr>
        <w:spacing w:before="200" w:line="312" w:lineRule="auto"/>
        <w:ind w:left="-15" w:right="-15" w:firstLine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