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un sistema de aprendizaje adaptativo basado en el modelo de las 5 P y tutoría inteligente para la inclusión sociolaboral en el sector IT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tecnológico contemporáneo exige no solo una sólida base de conocimientos técnicos, sino también una configuración psicológica y emocional orientada a la resolución de problemas y al aprendizaje continuo. Para los jóvenes egresados de la educación secundaria en barrios vulnerables de Argentina, la transición hacia el mercado laboral de la tecnología de la información (IT) representa un desafío multidimensional que trasciende la mera adquisición de sintaxis de programación. El análisis de la brecha de habilidades indica que factores como la falta de infraestructura, las disparidades en la calidad educativa previa y la ausencia de redes de contacto profesional actúan como barreras estructurales significativas.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este contexto, la propuesta de un modelo de enseñanza eficiente debe integrar la potencia del procesamiento de la Inteligencia Artificial (IA) con marcos pedagógicos que fomenten la resiliencia y la motivación intrínseca.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ingeniería de software, al abordar el diseño de sistemas educativos, debe trascender el desarrollo de interfaces para enfocarse en la modelación del proceso cognitivo del estudiante. El modelo propuesto se fundamenta en la integración de los Sistemas de Tutoría Inteligente (ITS) con el marco de las "5 P" —Práctica, Paciencia, Perseverancia, Pasión y Play—, orquestados bajo un esquema de "Human-in-the-Loop" (HITL) que garantiza que la tecnología actúe como un catalizador de la capacidad humana y no como un reemplazo despersonalizado.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contexto de la brecha digital y educativa en sectores vulnerables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implementación de cualquier modelo pedagógico en sectores populares de Argentina requiere una comprensión profunda de las disparidades sistémicas. La brecha digital no se limita a la falta de conectividad; se manifiesta como una desigualdad en la capacidad de aprovechar las tecnologías para la creación y el pensamiento crítico.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Mientras que en centros urbanos consolidados la infraestructura permite una inmersión fluida, en los barrios vulnerables la educación tecnológica a menudo ha sido reducida al uso básico de software de oficina, omitiendo el desarrollo de competencias de resolución de problemas complejos.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sistemas educativos en Argentina han intentado abordar esta problemática mediante programas como PLANEA, que proponen una transformación de la escuela secundaria basada en la resolución de problemas y la integración sistémica de herramientas digitales.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obstante, cuando el estudiante egresa, se encuentra con una industria IT que demanda una especialización que la escuela media, en sus condiciones actuales, no siempre logra proveer. La brecha de habilidades resultante se divide en tres categorías: cognitivas, socioemocionales y técnicas.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modelo eficiente debe, por tanto, actuar como un puente adaptativo. La IA permite que esta nivelación no sea un proceso genérico, sino una trayectoria personalizada que reconoce los saberes previos del estudiante —muchas veces adquiridos de forma no formal— y los alinea con las demandas específicas de las empresas.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Fundamentación pedagógica: El marco de las 5 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de las 5 P propone un enfoque holístico para la formación técnica. Cada componente interactúa con los demás para crear un entorno de aprendizaje que sostiene la motivación del estudiante a pesar de las dificultades socioeconómicas.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Práctica: La centralidad del aprendizaje activo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la ingeniería de software, la competencia se adquiere mediante la ejecución repetida y reflexiva de tareas. La "Práctica" en este modelo no se entiende como la repetición de ejercicios mecánicos, sino como el aprendizaje basado en proyectos (PBL) que tienen una utilidad real.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 teoría del aprendizaje-servicio sugiere que cuando los estudiantes aplican sus conocimientos para resolver problemas de su comunidad, el aprendizaje adquiere un significado profundo.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el diseño del sistema, la Práctica se traduce en entornos de codificación controlados (sandboxes) donde el estudiante puede experimentar de manera inmediata. La IA debe ser capaz de generar retos técnicos que se ajusten al nivel actual del alumno, siguiendo la zona de desarrollo próximo de Vygotsky. La eficiencia de la práctica se mide mediante la capacidad del sistema para realizar un "model-tracing", registrando cada paso del estudiante en la resolución de un problema para identificar no solo el error final, sino la desviación en la lógica subyacente.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Paciencia: La regulación emocional ante el error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aprendizaje de la programación es inherentemente frustrante debido a la naturaleza binaria de la ejecución del código: funciona o no funciona. En entornos vulnerables, donde la autopercepción de competencia académica puede estar debilitada por experiencias previas de exclusión, la gestión de la frustración es crítica.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La Paciencia debe integrarse en el sistema como una característica del "Agente Coach".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agente utiliza técnicas de procesamiento de lenguaje natural para detectar señales de agotamiento o frustración en los mensajes del estudiante o en sus patrones de interacción (como el borrado repetitivo de código o largos periodos de inactividad ante un error). El sistema responde proporcionando andamiaje (scaffolding) emocional y técnico, sugiriendo pausas o reformulando el problema en términos más sencillos para evitar el abandono.</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Perseverancia: La construcción del Grit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perseverancia, o </w:t>
      </w:r>
      <w:r w:rsidDel="00000000" w:rsidR="00000000" w:rsidRPr="00000000">
        <w:rPr>
          <w:rFonts w:ascii="Google Sans" w:cs="Google Sans" w:eastAsia="Google Sans" w:hAnsi="Google Sans"/>
          <w:i w:val="1"/>
          <w:iCs w:val="1"/>
          <w:color w:val="1f1f1f"/>
          <w:rtl w:val="0"/>
        </w:rPr>
        <w:t xml:space="preserve">Grit</w:t>
      </w:r>
      <w:r w:rsidDel="00000000" w:rsidR="00000000" w:rsidRPr="00000000">
        <w:rPr>
          <w:rFonts w:ascii="Google Sans" w:cs="Google Sans" w:eastAsia="Google Sans" w:hAnsi="Google Sans"/>
          <w:color w:val="1f1f1f"/>
          <w:rtl w:val="0"/>
        </w:rPr>
        <w:t xml:space="preserve">, es definida como la pasión y persistencia para lograr metas a largo plazo.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Las investigaciones indican que el </w:t>
      </w:r>
      <w:r w:rsidDel="00000000" w:rsidR="00000000" w:rsidRPr="00000000">
        <w:rPr>
          <w:rFonts w:ascii="Google Sans" w:cs="Google Sans" w:eastAsia="Google Sans" w:hAnsi="Google Sans"/>
          <w:i w:val="1"/>
          <w:iCs w:val="1"/>
          <w:color w:val="1f1f1f"/>
          <w:rtl w:val="0"/>
        </w:rPr>
        <w:t xml:space="preserve">Grit</w:t>
      </w:r>
      <w:r w:rsidDel="00000000" w:rsidR="00000000" w:rsidRPr="00000000">
        <w:rPr>
          <w:rFonts w:ascii="Google Sans" w:cs="Google Sans" w:eastAsia="Google Sans" w:hAnsi="Google Sans"/>
          <w:color w:val="1f1f1f"/>
          <w:rtl w:val="0"/>
        </w:rPr>
        <w:t xml:space="preserve"> es un predictor de éxito más fiable que el coeficiente intelectual en entornos desafiantes.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Para fomentar la perseverancia, el sistema de IA debe implementar un esquema de visualización del progreso que celebre el esfuerzo sostenido por encima de la resolución rápida.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arquitectura del software debe incluir un sistema de seguimiento de trayectorias que permita al estudiante ver su evolución a lo largo del tiempo. Al segmentar las habilidades necesarias en micro-competencias, el sistema permite que el alumno experimente éxitos frecuentes, lo cual refuerza su voluntad de continuar.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perseverancia se convierte así en un hábito cultivado por el diseño de la interacción.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Pasión: La conexión con el propósito vocacional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Pasión se activa cuando el estudiante encuentra una conexión entre el contenido técnico y sus intereses personales o sociales. En el contexto de barrios vulnerables, esto implica alejarse de ejemplos abstractos de la industria financiera o el comercio internacional para centrarse en aplicaciones que mejoren la vida en el barrio: sistemas de gestión para comedores comunitarios, aplicaciones de seguridad vecinal o plataformas de comercio local.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sistema de IA debe utilizar el perfil del estudiante (Modelo del Estudiante) para adaptar la narrativa de los ejercicios. Si un estudiante muestra interés en el deporte, la IA puede presentar problemas de lógica basados en estadísticas de fútbol; si el interés es la música, los desafíos pueden centrarse en el procesamiento de señales de audio. Esta personalización profunda es lo que transforma una tarea tediosa en una vocación.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 El juego como motor de innovación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concepto de "Play" (Juego) se basa en la idea de que la exploración sin miedo es fundamental para la creatividad tecnológica. La gamificación del aprendizaje no consiste solo en dar puntos o medallas, sino en crear un entorno donde el "error" sea visto como un resultado experimental y no como un fracaso académico.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sistema debe integrar dinámicas de juego que fomenten la curiosidad. Por ejemplo, "misiones" de debugging donde el estudiante debe encontrar errores en el código de otros (generado por la IA), o simulaciones de roles donde el alumno actúa como arquitecto de software para un cliente ficticio.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El juego reduce la ansiedad asociada a la evaluación formal y permite una inmersión más profunda en el estado de flujo.</w:t>
      </w:r>
      <w:r w:rsidDel="00000000" w:rsidR="00000000" w:rsidRPr="00000000">
        <w:rPr>
          <w:rFonts w:ascii="Google Sans" w:cs="Google Sans" w:eastAsia="Google Sans" w:hAnsi="Google Sans"/>
          <w:color w:val="444746"/>
          <w:sz w:val="24"/>
          <w:szCs w:val="24"/>
          <w:vertAlign w:val="superscript"/>
          <w:rtl w:val="0"/>
        </w:rPr>
        <w:t xml:space="preserve">18</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Dimensión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Traducción Funcional en el Sistema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Impacto en el Aprendizaje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Práctica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Generación de retos técnicos adaptativos y sandboxes.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Consolidación de habilidades técnicas (Hard Skills).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Paciencia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Detección de fatiga y feedback no punitivo.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Mejora de la regulación emocional y resiliencia.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Perseverancia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Visualización de metas a largo plazo y micro-logros.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Reducción de la tasa de deserción escolar/laboral.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Adaptación temática de contenidos a intereses locales.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Incremento de la motivación intrínseca y vocación.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Gamificación, simulaciones y exploración creativa.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Fomento de la creatividad y reducción del estrés.</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Teoría de la motivación en contextos de vulnerabilidad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que el modelo de las 5 P sea efectivo, debe estar anclado en teorías de la motivación validadas científicamente. La Teoría de la Autodeterminación (SDT) es fundamental para entender cómo los jóvenes de sectores populares pueden sostener el esfuerzo en una capacitación IT.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Autonomía, Competencia y Relación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SDT postula que el bienestar y la motivación dependen de la satisfacción de tres necesidades básicas. En primer lugar, la </w:t>
      </w:r>
      <w:r w:rsidDel="00000000" w:rsidR="00000000" w:rsidRPr="00000000">
        <w:rPr>
          <w:rFonts w:ascii="Google Sans" w:cs="Google Sans" w:eastAsia="Google Sans" w:hAnsi="Google Sans"/>
          <w:b w:val="1"/>
          <w:bCs w:val="1"/>
          <w:color w:val="1f1f1f"/>
          <w:rtl w:val="0"/>
        </w:rPr>
        <w:t xml:space="preserve">Autonomía</w:t>
      </w:r>
      <w:r w:rsidDel="00000000" w:rsidR="00000000" w:rsidRPr="00000000">
        <w:rPr>
          <w:rFonts w:ascii="Google Sans" w:cs="Google Sans" w:eastAsia="Google Sans" w:hAnsi="Google Sans"/>
          <w:color w:val="1f1f1f"/>
          <w:rtl w:val="0"/>
        </w:rPr>
        <w:t xml:space="preserve"> se refiere a la necesidad de sentir que uno es el autor de sus acciones. En un sistema de IA adaptativo, esto se logra permitiendo que el estudiante elija su propio camino de aprendizaje dentro de los marcos requeridos por las empresas.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segundo lugar, la </w:t>
      </w:r>
      <w:r w:rsidDel="00000000" w:rsidR="00000000" w:rsidRPr="00000000">
        <w:rPr>
          <w:rFonts w:ascii="Google Sans" w:cs="Google Sans" w:eastAsia="Google Sans" w:hAnsi="Google Sans"/>
          <w:b w:val="1"/>
          <w:bCs w:val="1"/>
          <w:color w:val="1f1f1f"/>
          <w:rtl w:val="0"/>
        </w:rPr>
        <w:t xml:space="preserve">Competencia</w:t>
      </w:r>
      <w:r w:rsidDel="00000000" w:rsidR="00000000" w:rsidRPr="00000000">
        <w:rPr>
          <w:rFonts w:ascii="Google Sans" w:cs="Google Sans" w:eastAsia="Google Sans" w:hAnsi="Google Sans"/>
          <w:color w:val="1f1f1f"/>
          <w:rtl w:val="0"/>
        </w:rPr>
        <w:t xml:space="preserve"> es la necesidad de sentirse eficaz en las tareas realizadas. El equilibrio de flujo es esencial aquí: si el sistema detecta que un estudiante de un barrio popular tiene dificultades con conceptos matemáticos básicos, no debe avanzar hacia algoritmos complejos, sino proporcionar una nivelación que le permita sentirse competente en cada paso.</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Finalmente, la </w:t>
      </w:r>
      <w:r w:rsidDel="00000000" w:rsidR="00000000" w:rsidRPr="00000000">
        <w:rPr>
          <w:rFonts w:ascii="Google Sans" w:cs="Google Sans" w:eastAsia="Google Sans" w:hAnsi="Google Sans"/>
          <w:b w:val="1"/>
          <w:bCs w:val="1"/>
          <w:color w:val="1f1f1f"/>
          <w:rtl w:val="0"/>
        </w:rPr>
        <w:t xml:space="preserve">Relación</w:t>
      </w:r>
      <w:r w:rsidDel="00000000" w:rsidR="00000000" w:rsidRPr="00000000">
        <w:rPr>
          <w:rFonts w:ascii="Google Sans" w:cs="Google Sans" w:eastAsia="Google Sans" w:hAnsi="Google Sans"/>
          <w:color w:val="1f1f1f"/>
          <w:rtl w:val="0"/>
        </w:rPr>
        <w:t xml:space="preserve"> es la necesidad de sentirse conectado con otros. Aquí es donde el tutor humano es insustituible. La IA puede proporcionar el "qué" y el "cómo", pero el tutor humano proporciona el "para quién" y el "con quién". En sectores vulnerables, el tutor actúa como un puente social, validando la identidad del estudiante como un futuro profesional IT y conectándolo con una comunidad de pares.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concepto de Flujo (Flow) en el aprendizaje de código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estado de flujo ocurre cuando las habilidades del estudiante coinciden con el desafío de la tarea, resultando en una inmersión total.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En el aprendizaje en línea, el flujo es interrumpido frecuentemente por distracciones externas (como el uso de smartphones) o por un desequilibrio entre reto y habilidad.</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matemático para mantener el flujo en el sistema de tutoría inteligente se puede expresar de la siguiente manera: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 </w:t>
      </w:r>
      <w:r w:rsidDel="00000000" w:rsidR="00000000" w:rsidRPr="00000000">
        <w:rPr>
          <w:rFonts w:ascii="Google Sans" w:cs="Google Sans" w:eastAsia="Google Sans" w:hAnsi="Google Sans"/>
          <w:color w:val="1f1f1f"/>
        </w:rPr>
        <w:drawing>
          <wp:inline distB="19050" distT="19050" distL="19050" distR="19050">
            <wp:extent cx="144959" cy="231935"/>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4959" cy="231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nivel de desafío de la tarea y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nivel de habilidad percibida por el estudiante. El sistema busca minimizar la función de error respecto al estado óptimo de flujo </w:t>
      </w:r>
      <w:r w:rsidDel="00000000" w:rsidR="00000000" w:rsidRPr="00000000">
        <w:rPr>
          <w:rFonts w:ascii="Google Sans" w:cs="Google Sans" w:eastAsia="Google Sans" w:hAnsi="Google Sans"/>
          <w:color w:val="1f1f1f"/>
        </w:rPr>
        <w:drawing>
          <wp:inline distB="19050" distT="19050" distL="19050" distR="19050">
            <wp:extent cx="301972" cy="226479"/>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1972" cy="2264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 </w:t>
      </w:r>
      <w:r w:rsidDel="00000000" w:rsidR="00000000" w:rsidRPr="00000000">
        <w:rPr>
          <w:rFonts w:ascii="Google Sans" w:cs="Google Sans" w:eastAsia="Google Sans" w:hAnsi="Google Sans"/>
          <w:color w:val="1f1f1f"/>
        </w:rPr>
        <w:drawing>
          <wp:inline distB="19050" distT="19050" distL="19050" distR="19050">
            <wp:extent cx="558998" cy="227389"/>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58998" cy="2273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sistema debe activar el Agente Coach para proporcionar pistas o reducir la complejidad (evitando la ansiedad). Si </w:t>
      </w:r>
      <w:r w:rsidDel="00000000" w:rsidR="00000000" w:rsidRPr="00000000">
        <w:rPr>
          <w:rFonts w:ascii="Google Sans" w:cs="Google Sans" w:eastAsia="Google Sans" w:hAnsi="Google Sans"/>
          <w:color w:val="1f1f1f"/>
        </w:rPr>
        <w:drawing>
          <wp:inline distB="19050" distT="19050" distL="19050" distR="19050">
            <wp:extent cx="558998" cy="227389"/>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58998" cy="2273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sistema debe aumentar la dificultad o introducir elementos de "Play" para evitar el aburrimiento.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del Sistema de Tutoría Inteligente (ITS)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la ingeniería de software, el módulo de capacitación se concibe como un ITS distribuido que interactúa con los módulos de perfiles de estudiantes y ofertas empresariales. La arquitectura se basa en la "Trinidad Tradicional" de los ITS, expandida con agentes de IA modernos.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del Dominio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componente contiene el grafo de conocimientos de la industria IT. No es una lista plana de habilidades, sino una estructura jerárquica y relacional. Por ejemplo, el nodo "Desarrollo Web Frontend" tiene como pre-requisitos "HTML5", "CSS3" y "Lógica de Programación". La IA utiliza este modelo para calcular la distancia mínima entre el estado actual del estudiante y el perfil requerido por una empresa específica.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del Estudiante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 el corazón de la adaptatividad. Almacena:</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Estado Cognitivo:</w:t>
      </w:r>
      <w:r w:rsidDel="00000000" w:rsidR="00000000" w:rsidRPr="00000000">
        <w:rPr>
          <w:rFonts w:ascii="Google Sans" w:cs="Google Sans" w:eastAsia="Google Sans" w:hAnsi="Google Sans"/>
          <w:color w:val="1f1f1f"/>
          <w:rtl w:val="0"/>
        </w:rPr>
        <w:t xml:space="preserve"> Conocimientos adquiridos y errores frecuentes.</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Rasgos de Personalidad:</w:t>
      </w:r>
      <w:r w:rsidDel="00000000" w:rsidR="00000000" w:rsidRPr="00000000">
        <w:rPr>
          <w:rFonts w:ascii="Google Sans" w:cs="Google Sans" w:eastAsia="Google Sans" w:hAnsi="Google Sans"/>
          <w:color w:val="1f1f1f"/>
          <w:rtl w:val="0"/>
        </w:rPr>
        <w:t xml:space="preserve"> Nivel de </w:t>
      </w:r>
      <w:r w:rsidDel="00000000" w:rsidR="00000000" w:rsidRPr="00000000">
        <w:rPr>
          <w:rFonts w:ascii="Google Sans" w:cs="Google Sans" w:eastAsia="Google Sans" w:hAnsi="Google Sans"/>
          <w:i w:val="1"/>
          <w:iCs w:val="1"/>
          <w:color w:val="1f1f1f"/>
          <w:rtl w:val="0"/>
        </w:rPr>
        <w:t xml:space="preserve">Grit</w:t>
      </w:r>
      <w:r w:rsidDel="00000000" w:rsidR="00000000" w:rsidRPr="00000000">
        <w:rPr>
          <w:rFonts w:ascii="Google Sans" w:cs="Google Sans" w:eastAsia="Google Sans" w:hAnsi="Google Sans"/>
          <w:color w:val="1f1f1f"/>
          <w:rtl w:val="0"/>
        </w:rPr>
        <w:t xml:space="preserve"> y estilos de aprendizaje.</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Estado Afectivo:</w:t>
      </w:r>
      <w:r w:rsidDel="00000000" w:rsidR="00000000" w:rsidRPr="00000000">
        <w:rPr>
          <w:rFonts w:ascii="Google Sans" w:cs="Google Sans" w:eastAsia="Google Sans" w:hAnsi="Google Sans"/>
          <w:color w:val="1f1f1f"/>
          <w:rtl w:val="0"/>
        </w:rPr>
        <w:t xml:space="preserve"> Nivel de frustración o compromiso detectado en tiempo real.</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Contexto Socioeconómico:</w:t>
      </w:r>
      <w:r w:rsidDel="00000000" w:rsidR="00000000" w:rsidRPr="00000000">
        <w:rPr>
          <w:rFonts w:ascii="Google Sans" w:cs="Google Sans" w:eastAsia="Google Sans" w:hAnsi="Google Sans"/>
          <w:color w:val="1f1f1f"/>
          <w:rtl w:val="0"/>
        </w:rPr>
        <w:t xml:space="preserve"> Disponibilidad de hardware, tiempo de estudio y ubicación geográfica (importante para la asignación de tutores presenciales si fuera necesario).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Pedagógico y la IA Agéntica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pedagógico actúa como el motor de inferencia. En lugar de reglas rígidas de "si-entonces", se propone un sistema de multi-agentes que colaboran para optimizar la enseñanza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Agente Estratega:</w:t>
      </w:r>
      <w:r w:rsidDel="00000000" w:rsidR="00000000" w:rsidRPr="00000000">
        <w:rPr>
          <w:rFonts w:ascii="Google Sans" w:cs="Google Sans" w:eastAsia="Google Sans" w:hAnsi="Google Sans"/>
          <w:color w:val="1f1f1f"/>
          <w:rtl w:val="0"/>
        </w:rPr>
        <w:t xml:space="preserve"> Define el plan de estudios a largo plazo basado en las brechas detectadas.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Agente Diseñador de Contenido:</w:t>
      </w:r>
      <w:r w:rsidDel="00000000" w:rsidR="00000000" w:rsidRPr="00000000">
        <w:rPr>
          <w:rFonts w:ascii="Google Sans" w:cs="Google Sans" w:eastAsia="Google Sans" w:hAnsi="Google Sans"/>
          <w:color w:val="1f1f1f"/>
          <w:rtl w:val="0"/>
        </w:rPr>
        <w:t xml:space="preserve"> Selecciona o genera explicaciones y ejercicios. Si el estudiante responde mejor a lo visual, generará diagramas; si prefiere la lectura, generará documentación técnica detallada.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Agente Coach (Socrático):</w:t>
      </w:r>
      <w:r w:rsidDel="00000000" w:rsidR="00000000" w:rsidRPr="00000000">
        <w:rPr>
          <w:rFonts w:ascii="Google Sans" w:cs="Google Sans" w:eastAsia="Google Sans" w:hAnsi="Google Sans"/>
          <w:color w:val="1f1f1f"/>
          <w:rtl w:val="0"/>
        </w:rPr>
        <w:t xml:space="preserve"> Interactúa con el alumno. Su función es guiar mediante preguntas, aplicando los principios de Paciencia y Play. No da la solución, sino que ayuda al estudiante a encontrarla por sí mismo, fortaleciendo su sentido de competencia.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del modelo Human-in-the-Loop (HITL)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pesar de la sofisticación de la IA, el factor humano es determinante para el éxito en sectores vulnerables. El sistema HITL asegura que el tutor humano tenga una visión omnisciente pero no intrusiva del proceso.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Dashboard del Tutor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sistema debe proveer al tutor humano una interfaz que resuma el estado de su grupo de estudiantes. La IA realiza un análisis predictivo para identificar a los alumnos en riesgo de abandono basándose en indicadores de perseverancia y rendimiento.</w:t>
      </w:r>
      <w:r w:rsidDel="00000000" w:rsidR="00000000" w:rsidRPr="00000000">
        <w:rPr>
          <w:rFonts w:ascii="Google Sans" w:cs="Google Sans" w:eastAsia="Google Sans" w:hAnsi="Google Sans"/>
          <w:color w:val="444746"/>
          <w:sz w:val="24"/>
          <w:szCs w:val="24"/>
          <w:vertAlign w:val="superscript"/>
          <w:rtl w:val="0"/>
        </w:rPr>
        <w:t xml:space="preserve">7</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Métrica de Alerta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Indicador de 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Acción del Tutor Humano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Baja Perseverancia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estudiante repite el mismo error 5 veces sin solicitar pistas.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Intervención motivacional personal o llamada telefónica.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Pérdida de Pasión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tiempo de conexión ha disminuido un 60% en la última semana.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Sesión de mentoría para re-vincular los objetivos con los intereses del joven.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Falta de Práctica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ratio teoría/práctica es superior a 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Asignación manual de un proyecto práctico comunitario.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Anomalía de Paciencia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Uso de lenguaje agresivo en el chat con el Agente Coach.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Contención emocional y diagnóstico de barreras externas (problemas familiares, económicos).</w:t>
            </w:r>
          </w:p>
        </w:tc>
      </w:tr>
    </w:tbl>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Ético y Mitigación de Sesgos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IA puede heredar sesgos que perjudiquen a los estudiantes de barrios vulnerables. Por ejemplo, un algoritmo podría penalizar a un estudiante que solo se conecta de noche o que tiene una escritura menos formal. El enfoque HITL permite que el tutor humano audite las decisiones de la IA y ajuste los parámetros de evaluación para garantizar la equidad y la inclusión.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proceso de reducción de la brecha: De la secundaria al empleo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de enseñanza se operacionaliza en un flujo de trabajo que transforma al postulante en un candidato viable para el sector IT.</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Mapeo de la Brecha (Gap Analysis)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iniciar, el sistema realiza una evaluación cruzada. Si una oferta laboral de una empresa requiere "React.js" y "Trabajo en Equipo", y el estudiante sale de la secundaria con conocimientos de "C++" y "Comunicación Oral", la IA calcula la trayectoria necesaria para cubrir esos puntos específicos. Este enfoque es mucho más eficiente que un curso genérico de programación, ya que se centra solo en lo que falta para la inserción laboral inmediata.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Nivelación Adaptativa basada en las 5 P</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estudiante entra en el ciclo de capacitación. La eficiencia se logra mediante la eliminación de contenidos redundantes. El aprendizaje es asíncrono, permitiendo que jóvenes que deben trabajar o cuidar familiares puedan avanzar a su propio ritmo, satisfaciendo así su necesidad de autonomía.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Validación de Competencias y Portafolio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capacitación no termina con un examen, sino con la creación de un producto funcional. Bajo el principio de Práctica y Play, el estudiante desarrolla un MVP que forma parte de su portafolio. La IA valida la calidad del código, pero el tutor humano valida la presentación y la actitud profesional.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Desafíos técnicos y sociales en la Argentina vulnerable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implementación de este software en barrios populares enfrenta obstáculos infraestructurales que deben ser resueltos desde la arquitectura del sistema.</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Optimización para conectividad limitada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Muchos estudiantes acceden a través de planes de datos móviles limitados o redes Wi-Fi comunitarias inestables. El software debe ser ligero y permitir el trabajo offline. Los modelos de IA más pesados (como los LLMs) deben ejecutarse en el servidor, pero el sistema debe ser capaz de enviar ráfagas de datos comprimidos para mantener la interactividad.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mediación de las organizaciones sociales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que el modelo sea exitoso, debe integrarse con las organizaciones territoriales que ya trabajan en los barrios. Estas organizaciones proveen el espacio físico (puntos digitales) y el soporte social que complementa la tutoría técnica. El software debe permitir roles de acceso para estos referentes comunitarios, permitiéndoles acompañar el proceso de los jóvenes del barrio.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Impacto esperado y métricas de éxito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eficiencia del modelo no se mide solo por la cantidad de graduados, sino por la calidad de la inserción laboral y la transformación de la autopercepción del estudiante.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Métricas Cuantitativas</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Reducción del tiempo de capacitación:</w:t>
      </w:r>
      <w:r w:rsidDel="00000000" w:rsidR="00000000" w:rsidRPr="00000000">
        <w:rPr>
          <w:rFonts w:ascii="Google Sans" w:cs="Google Sans" w:eastAsia="Google Sans" w:hAnsi="Google Sans"/>
          <w:color w:val="1f1f1f"/>
          <w:rtl w:val="0"/>
        </w:rPr>
        <w:t xml:space="preserve"> Comparación entre el tiempo promedio de un curso tradicional vs. la trayectoria adaptativa de la IA.</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Tasa de colocación laboral:</w:t>
      </w:r>
      <w:r w:rsidDel="00000000" w:rsidR="00000000" w:rsidRPr="00000000">
        <w:rPr>
          <w:rFonts w:ascii="Google Sans" w:cs="Google Sans" w:eastAsia="Google Sans" w:hAnsi="Google Sans"/>
          <w:color w:val="1f1f1f"/>
          <w:rtl w:val="0"/>
        </w:rPr>
        <w:t xml:space="preserve"> Porcentaje de estudiantes que consiguen empleo en los primeros 6 meses post-capacitación.</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Retención en el empleo:</w:t>
      </w:r>
      <w:r w:rsidDel="00000000" w:rsidR="00000000" w:rsidRPr="00000000">
        <w:rPr>
          <w:rFonts w:ascii="Google Sans" w:cs="Google Sans" w:eastAsia="Google Sans" w:hAnsi="Google Sans"/>
          <w:color w:val="1f1f1f"/>
          <w:rtl w:val="0"/>
        </w:rPr>
        <w:t xml:space="preserve"> Seguimiento a un año para medir si las habilidades socioemocionales (Paciencia, Perseverancia) fueron suficientes para la cultura corporativa IT.</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Métricas Cualitativas (Psicométricas)</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Incremento en la Escala de Grit:</w:t>
      </w:r>
      <w:r w:rsidDel="00000000" w:rsidR="00000000" w:rsidRPr="00000000">
        <w:rPr>
          <w:rFonts w:ascii="Google Sans" w:cs="Google Sans" w:eastAsia="Google Sans" w:hAnsi="Google Sans"/>
          <w:color w:val="1f1f1f"/>
          <w:rtl w:val="0"/>
        </w:rPr>
        <w:t xml:space="preserve"> Medición del desarrollo de la perseverancia a lo largo del programa.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Satisfacción de Necesidades Psicológicas:</w:t>
      </w:r>
      <w:r w:rsidDel="00000000" w:rsidR="00000000" w:rsidRPr="00000000">
        <w:rPr>
          <w:rFonts w:ascii="Google Sans" w:cs="Google Sans" w:eastAsia="Google Sans" w:hAnsi="Google Sans"/>
          <w:color w:val="1f1f1f"/>
          <w:rtl w:val="0"/>
        </w:rPr>
        <w:t xml:space="preserve"> Encuestas basadas en la SDT para medir el sentimiento de autonomía y competencia.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Sentido de Pertenencia:</w:t>
      </w:r>
      <w:r w:rsidDel="00000000" w:rsidR="00000000" w:rsidRPr="00000000">
        <w:rPr>
          <w:rFonts w:ascii="Google Sans" w:cs="Google Sans" w:eastAsia="Google Sans" w:hAnsi="Google Sans"/>
          <w:color w:val="1f1f1f"/>
          <w:rtl w:val="0"/>
        </w:rPr>
        <w:t xml:space="preserve"> Nivel de identificación del joven con la comunidad profesional IT.</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para la implementación del MVP</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desarrollo de este módulo de capacitación no es solo una tarea de programación; es un acto de ingeniería social mediado por tecnología avanzada. La propuesta de integrar las 5 P con un Sistema de Tutoría Inteligente bajo supervisión humana responde a la complejidad de la realidad de los barrios vulnerables en Argentina.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IA proporciona la escala y la personalización necesarias para abordar la diversidad de conocimientos y ritmos de aprendizaje. Al mismo tiempo, el marco pedagógico de las 5 P asegura que no se pierda de vista la dimensión humana del estudiante: su necesidad de jugar, su derecho a apasionarse por lo que hace, y la importancia de cultivar la paciencia y la perseverancia en un camino que, aunque difícil, es transformador.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Como ingenieros de software, la responsabilidad es construir sistemas que no solo procesen datos, sino que amplíen las oportunidades de aquellos que históricamente han sido excluidos. La eficiencia de este modelo de enseñanza radica en su capacidad para reconocer que detrás de cada línea de código hay un joven con un potencial inmenso que solo necesita el entorno adecuado —uno que combine la precisión del algoritmo con la calidez del acompañamiento humano— para florecer en la industria tecnológica.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educational outcomes through Digital ... - Unicef, fecha de acceso: abril 23, 2026, </w:t>
      </w:r>
      <w:hyperlink r:id="rId12">
        <w:r w:rsidDel="00000000" w:rsidR="00000000" w:rsidRPr="00000000">
          <w:rPr>
            <w:rFonts w:ascii="Google Sans" w:cs="Google Sans" w:eastAsia="Google Sans" w:hAnsi="Google Sans"/>
            <w:color w:val="0000ee"/>
            <w:sz w:val="24"/>
            <w:szCs w:val="24"/>
            <w:u w:val="single"/>
            <w:rtl w:val="0"/>
          </w:rPr>
          <w:t xml:space="preserve">https://www.unicef.org/lac/media/53636/file/Accelerating_Digital_Transformation_EN_FINAL.pdf.pdf</w:t>
        </w:r>
      </w:hyperlink>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Inclusion Strategies: A Primer for Latin American Policymakers - IADB Publications, fecha de acceso: abril 23, 2026, </w:t>
      </w:r>
      <w:hyperlink r:id="rId13">
        <w:r w:rsidDel="00000000" w:rsidR="00000000" w:rsidRPr="00000000">
          <w:rPr>
            <w:rFonts w:ascii="Google Sans" w:cs="Google Sans" w:eastAsia="Google Sans" w:hAnsi="Google Sans"/>
            <w:color w:val="0000ee"/>
            <w:sz w:val="24"/>
            <w:szCs w:val="24"/>
            <w:u w:val="single"/>
            <w:rtl w:val="0"/>
          </w:rPr>
          <w:t xml:space="preserve">https://publications.iadb.org/publications/english/document/digital-inclusion-strategies-a-primer-for-latin-american-policymakers.pdf</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Artificial Intelligence: A Systematic Review of Concepts, Methods, and Applications - MDPI, fecha de acceso: abril 23, 2026, </w:t>
      </w:r>
      <w:hyperlink r:id="rId14">
        <w:r w:rsidDel="00000000" w:rsidR="00000000" w:rsidRPr="00000000">
          <w:rPr>
            <w:rFonts w:ascii="Google Sans" w:cs="Google Sans" w:eastAsia="Google Sans" w:hAnsi="Google Sans"/>
            <w:color w:val="0000ee"/>
            <w:sz w:val="24"/>
            <w:szCs w:val="24"/>
            <w:u w:val="single"/>
            <w:rtl w:val="0"/>
          </w:rPr>
          <w:t xml:space="preserve">https://www.mdpi.com/1099-4300/28/4/377</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Sistemas Tutoriales Inteligentes - Postgrado Informática, fecha de acceso: abril 23, 2026, </w:t>
      </w:r>
      <w:hyperlink r:id="rId15">
        <w:r w:rsidDel="00000000" w:rsidR="00000000" w:rsidRPr="00000000">
          <w:rPr>
            <w:rFonts w:ascii="Google Sans" w:cs="Google Sans" w:eastAsia="Google Sans" w:hAnsi="Google Sans"/>
            <w:color w:val="0000ee"/>
            <w:sz w:val="24"/>
            <w:szCs w:val="24"/>
            <w:u w:val="single"/>
            <w:rtl w:val="0"/>
          </w:rPr>
          <w:t xml:space="preserve">https://postgrado.info.unlp.edu.ar/wp-content/uploads/2014/07/Huapaya.pdf</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Strengthening Argentinian youth digital communication and civic participation skills | Democracy Fund - the United Nations, fecha de acceso: abril 23, 2026, </w:t>
      </w:r>
      <w:hyperlink r:id="rId16">
        <w:r w:rsidDel="00000000" w:rsidR="00000000" w:rsidRPr="00000000">
          <w:rPr>
            <w:rFonts w:ascii="Google Sans" w:cs="Google Sans" w:eastAsia="Google Sans" w:hAnsi="Google Sans"/>
            <w:color w:val="0000ee"/>
            <w:sz w:val="24"/>
            <w:szCs w:val="24"/>
            <w:u w:val="single"/>
            <w:rtl w:val="0"/>
          </w:rPr>
          <w:t xml:space="preserve">https://www.un.org/democracyfund/news/strengthening-argentinian-youth-digital-communication-and-civic-participation-skills</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Reflexiones de Empleadores, Educadores y Jóvenes en América Latina y el Caribe - FHI 360, fecha de acceso: abril 23, 2026, </w:t>
      </w:r>
      <w:hyperlink r:id="rId17">
        <w:r w:rsidDel="00000000" w:rsidR="00000000" w:rsidRPr="00000000">
          <w:rPr>
            <w:rFonts w:ascii="Google Sans" w:cs="Google Sans" w:eastAsia="Google Sans" w:hAnsi="Google Sans"/>
            <w:color w:val="0000ee"/>
            <w:sz w:val="24"/>
            <w:szCs w:val="24"/>
            <w:u w:val="single"/>
            <w:rtl w:val="0"/>
          </w:rPr>
          <w:t xml:space="preserve">https://www.fhi360.org/wp-content/uploads/2024/02/resource-bridging-skills-gap-spanish.pdf</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Alfabetización + Inteligencia Artificial (IA) - IADB Publications, fecha de acceso: abril 23, 2026, </w:t>
      </w:r>
      <w:hyperlink r:id="rId18">
        <w:r w:rsidDel="00000000" w:rsidR="00000000" w:rsidRPr="00000000">
          <w:rPr>
            <w:rFonts w:ascii="Google Sans" w:cs="Google Sans" w:eastAsia="Google Sans" w:hAnsi="Google Sans"/>
            <w:color w:val="0000ee"/>
            <w:sz w:val="24"/>
            <w:szCs w:val="24"/>
            <w:u w:val="single"/>
            <w:rtl w:val="0"/>
          </w:rPr>
          <w:t xml:space="preserve">https://publications.iadb.org/publications/spanish/document/Alfabetizacion-inteligencia-artificial-IA.-Desafios-y-oportunidades-en-Argentina.pdf</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Educacion no formal y pedagogía. Saberes para la formación y la intervención - Repositorio Athenea Digital - UNAM, fecha de acceso: abril 23, 2026, </w:t>
      </w:r>
      <w:hyperlink r:id="rId19">
        <w:r w:rsidDel="00000000" w:rsidR="00000000" w:rsidRPr="00000000">
          <w:rPr>
            <w:rFonts w:ascii="Google Sans" w:cs="Google Sans" w:eastAsia="Google Sans" w:hAnsi="Google Sans"/>
            <w:color w:val="0000ee"/>
            <w:sz w:val="24"/>
            <w:szCs w:val="24"/>
            <w:u w:val="single"/>
            <w:rtl w:val="0"/>
          </w:rPr>
          <w:t xml:space="preserve">https://ru.atheneadigital.filos.unam.mx/jspui/bitstream/FFYL_UNAM/9581/1/Educacion%20no%20formal-FINAL%20%282%29.pdf</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Practitioners' perceptions of play-based pedagogy on the holistic development of young children by Nonhlanhla Patience Ntshang - University of Pretoria, fecha de acceso: abril 23, 2026, </w:t>
      </w:r>
      <w:hyperlink r:id="rId20">
        <w:r w:rsidDel="00000000" w:rsidR="00000000" w:rsidRPr="00000000">
          <w:rPr>
            <w:rFonts w:ascii="Google Sans" w:cs="Google Sans" w:eastAsia="Google Sans" w:hAnsi="Google Sans"/>
            <w:color w:val="0000ee"/>
            <w:sz w:val="24"/>
            <w:szCs w:val="24"/>
            <w:u w:val="single"/>
            <w:rtl w:val="0"/>
          </w:rPr>
          <w:t xml:space="preserve">https://repository.up.ac.za/server/api/core/bitstreams/f35f263d-5101-4eda-9827-2f36ed7c0fba/content</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REVISTA CIENTÍFICA - CLAYSS, fecha de acceso: abril 23, 2026, </w:t>
      </w:r>
      <w:hyperlink r:id="rId21">
        <w:r w:rsidDel="00000000" w:rsidR="00000000" w:rsidRPr="00000000">
          <w:rPr>
            <w:rFonts w:ascii="Google Sans" w:cs="Google Sans" w:eastAsia="Google Sans" w:hAnsi="Google Sans"/>
            <w:color w:val="0000ee"/>
            <w:sz w:val="24"/>
            <w:szCs w:val="24"/>
            <w:u w:val="single"/>
            <w:rtl w:val="0"/>
          </w:rPr>
          <w:t xml:space="preserve">https://www.clayss.org/wp-content/uploads/2023/07/ESP_Tzhoecoen_5.pdf</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3_Cross_et_al_2018_Perception... - William &amp; Mary, fecha de acceso: abril 23, 2026, </w:t>
      </w:r>
      <w:hyperlink r:id="rId22">
        <w:r w:rsidDel="00000000" w:rsidR="00000000" w:rsidRPr="00000000">
          <w:rPr>
            <w:rFonts w:ascii="Google Sans" w:cs="Google Sans" w:eastAsia="Google Sans" w:hAnsi="Google Sans"/>
            <w:color w:val="0000ee"/>
            <w:sz w:val="24"/>
            <w:szCs w:val="24"/>
            <w:u w:val="single"/>
            <w:rtl w:val="0"/>
          </w:rPr>
          <w:t xml:space="preserve">https://scholarworks.wm.edu/bitstreams/76f383db-1ad0-4d98-a640-d0723865efaa/download</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Realities: Human-in-the-Loop AI for Trustworthy XR Training in Safety-Critical Domains - MDPI, fecha de acceso: abril 23, 2026, </w:t>
      </w:r>
      <w:hyperlink r:id="rId23">
        <w:r w:rsidDel="00000000" w:rsidR="00000000" w:rsidRPr="00000000">
          <w:rPr>
            <w:rFonts w:ascii="Google Sans" w:cs="Google Sans" w:eastAsia="Google Sans" w:hAnsi="Google Sans"/>
            <w:color w:val="0000ee"/>
            <w:sz w:val="24"/>
            <w:szCs w:val="24"/>
            <w:u w:val="single"/>
            <w:rtl w:val="0"/>
          </w:rPr>
          <w:t xml:space="preserve">https://www.mdpi.com/2414-4088/10/1/11</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Adaptive Learning Paths with Agentic AI (AutoGen ..., fecha de acceso: abril 23, 2026, </w:t>
      </w:r>
      <w:hyperlink r:id="rId24">
        <w:r w:rsidDel="00000000" w:rsidR="00000000" w:rsidRPr="00000000">
          <w:rPr>
            <w:rFonts w:ascii="Google Sans" w:cs="Google Sans" w:eastAsia="Google Sans" w:hAnsi="Google Sans"/>
            <w:color w:val="0000ee"/>
            <w:sz w:val="24"/>
            <w:szCs w:val="24"/>
            <w:u w:val="single"/>
            <w:rtl w:val="0"/>
          </w:rPr>
          <w:t xml:space="preserve">https://8allocate.com/blog/designing-adaptive-learning-paths-with-agentic-ai-autogen-patterns/</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DuckworthAngela_Grit_ElPoder, fecha de acceso: abril 23, 2026, </w:t>
      </w:r>
      <w:hyperlink r:id="rId25">
        <w:r w:rsidDel="00000000" w:rsidR="00000000" w:rsidRPr="00000000">
          <w:rPr>
            <w:rFonts w:ascii="Google Sans" w:cs="Google Sans" w:eastAsia="Google Sans" w:hAnsi="Google Sans"/>
            <w:color w:val="0000ee"/>
            <w:sz w:val="24"/>
            <w:szCs w:val="24"/>
            <w:u w:val="single"/>
            <w:rtl w:val="0"/>
          </w:rPr>
          <w:t xml:space="preserve">https://gc.scalahed.com/recursos/files/r161r/w24997w/DuckworthAngela_Grit_ElPoderDeLaPasionLaPerseverancia.pdf</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Interventions For At-Risk Students and Their Impacts on Autonomy, Connectedness, And Competence in Missouri Public High Schools, fecha de acceso: abril 23, 2026, </w:t>
      </w:r>
      <w:hyperlink r:id="rId26">
        <w:r w:rsidDel="00000000" w:rsidR="00000000" w:rsidRPr="00000000">
          <w:rPr>
            <w:rFonts w:ascii="Google Sans" w:cs="Google Sans" w:eastAsia="Google Sans" w:hAnsi="Google Sans"/>
            <w:color w:val="0000ee"/>
            <w:sz w:val="24"/>
            <w:szCs w:val="24"/>
            <w:u w:val="single"/>
            <w:rtl w:val="0"/>
          </w:rPr>
          <w:t xml:space="preserve">https://arch.astate.edu/cgi/viewcontent.cgi?article=1125&amp;context=all-etd</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Motivating Low-Income Youth for Work | PDF - Scribd, fecha de acceso: abril 23, 2026, </w:t>
      </w:r>
      <w:hyperlink r:id="rId27">
        <w:r w:rsidDel="00000000" w:rsidR="00000000" w:rsidRPr="00000000">
          <w:rPr>
            <w:rFonts w:ascii="Google Sans" w:cs="Google Sans" w:eastAsia="Google Sans" w:hAnsi="Google Sans"/>
            <w:color w:val="0000ee"/>
            <w:sz w:val="24"/>
            <w:szCs w:val="24"/>
            <w:u w:val="single"/>
            <w:rtl w:val="0"/>
          </w:rPr>
          <w:t xml:space="preserve">https://www.scribd.com/document/919292725/Ifow-Report-Final</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digital education in Argentina - UNOPS, fecha de acceso: abril 23, 2026, </w:t>
      </w:r>
      <w:hyperlink r:id="rId28">
        <w:r w:rsidDel="00000000" w:rsidR="00000000" w:rsidRPr="00000000">
          <w:rPr>
            <w:rFonts w:ascii="Google Sans" w:cs="Google Sans" w:eastAsia="Google Sans" w:hAnsi="Google Sans"/>
            <w:color w:val="0000ee"/>
            <w:sz w:val="24"/>
            <w:szCs w:val="24"/>
            <w:u w:val="single"/>
            <w:rtl w:val="0"/>
          </w:rPr>
          <w:t xml:space="preserve">https://www.unops.org/news-and-stories/stories/enhancing-digital-education-in-argentina</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Environments and the experience of flow: A scoping review - ResearchGate, fecha de acceso: abril 23,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https://www.researchgate.net/publication/391261595_Environments_and_the_experience_of_flow_A_scoping_review</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 of sight, out of mind? The impact of smartphone absence on flow and learning performance and the moderating role of nomophobia - Taylor &amp; Francis, fecha de acceso: abril 23, 2026, </w:t>
      </w:r>
      <w:hyperlink r:id="rId30">
        <w:r w:rsidDel="00000000" w:rsidR="00000000" w:rsidRPr="00000000">
          <w:rPr>
            <w:rFonts w:ascii="Google Sans" w:cs="Google Sans" w:eastAsia="Google Sans" w:hAnsi="Google Sans"/>
            <w:color w:val="0000ee"/>
            <w:sz w:val="24"/>
            <w:szCs w:val="24"/>
            <w:u w:val="single"/>
            <w:rtl w:val="0"/>
          </w:rPr>
          <w:t xml:space="preserve">https://www.tandfonline.com/doi/pdf/10.1080/0144929X.2025.2574368</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Test of Basic Psychological Needs Theory in a Physical-Activity-Based Program for Underserved Youth, fecha de acceso: abril 23, 2026, </w:t>
      </w:r>
      <w:hyperlink r:id="rId31">
        <w:r w:rsidDel="00000000" w:rsidR="00000000" w:rsidRPr="00000000">
          <w:rPr>
            <w:rFonts w:ascii="Google Sans" w:cs="Google Sans" w:eastAsia="Google Sans" w:hAnsi="Google Sans"/>
            <w:color w:val="0000ee"/>
            <w:sz w:val="24"/>
            <w:szCs w:val="24"/>
            <w:u w:val="single"/>
            <w:rtl w:val="0"/>
          </w:rPr>
          <w:t xml:space="preserve">https://journals.humankinetics.com/downloadpdf/journals/jsep/39/1/article-p29.pdf</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 of sight, out of mind? The impact of smartphone absence on flow and learning performance and the moderating role of nomophobia - Taylor &amp; Francis, fecha de acceso: abril 23, 2026, </w:t>
      </w:r>
      <w:hyperlink r:id="rId32">
        <w:r w:rsidDel="00000000" w:rsidR="00000000" w:rsidRPr="00000000">
          <w:rPr>
            <w:rFonts w:ascii="Google Sans" w:cs="Google Sans" w:eastAsia="Google Sans" w:hAnsi="Google Sans"/>
            <w:color w:val="0000ee"/>
            <w:sz w:val="24"/>
            <w:szCs w:val="24"/>
            <w:u w:val="single"/>
            <w:rtl w:val="0"/>
          </w:rPr>
          <w:t xml:space="preserve">https://www.tandfonline.com/doi/full/10.1080/0144929X.2025.2574368</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Sistemas de tutoría inteligente y su aplicación en la educación ..., fecha de acceso: abril 23, 2026, </w:t>
      </w:r>
      <w:hyperlink r:id="rId33">
        <w:r w:rsidDel="00000000" w:rsidR="00000000" w:rsidRPr="00000000">
          <w:rPr>
            <w:rFonts w:ascii="Google Sans" w:cs="Google Sans" w:eastAsia="Google Sans" w:hAnsi="Google Sans"/>
            <w:color w:val="0000ee"/>
            <w:sz w:val="24"/>
            <w:szCs w:val="24"/>
            <w:u w:val="single"/>
            <w:rtl w:val="0"/>
          </w:rPr>
          <w:t xml:space="preserve">https://www.scielo.org.mx/scielo.php?script=sci_arttext&amp;pid=S2007-74672021000100115</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Uso de la IA para personalizar el aprendizaje y mejorar la educación primaria - UNIR, fecha de acceso: abril 23, 2026, </w:t>
      </w:r>
      <w:hyperlink r:id="rId34">
        <w:r w:rsidDel="00000000" w:rsidR="00000000" w:rsidRPr="00000000">
          <w:rPr>
            <w:rFonts w:ascii="Google Sans" w:cs="Google Sans" w:eastAsia="Google Sans" w:hAnsi="Google Sans"/>
            <w:color w:val="0000ee"/>
            <w:sz w:val="24"/>
            <w:szCs w:val="24"/>
            <w:u w:val="single"/>
            <w:rtl w:val="0"/>
          </w:rPr>
          <w:t xml:space="preserve">https://www.unir.net/revista/educacion/ia-para-personalizar-aprendizaje-mejorar-educacion-primaria/</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inteligencia artificial en el sistema educativo. Resúmenes ejecutivos - Funcas, fecha de acceso: abril 23, 2026, </w:t>
      </w:r>
      <w:hyperlink r:id="rId35">
        <w:r w:rsidDel="00000000" w:rsidR="00000000" w:rsidRPr="00000000">
          <w:rPr>
            <w:rFonts w:ascii="Google Sans" w:cs="Google Sans" w:eastAsia="Google Sans" w:hAnsi="Google Sans"/>
            <w:color w:val="0000ee"/>
            <w:sz w:val="24"/>
            <w:szCs w:val="24"/>
            <w:u w:val="single"/>
            <w:rtl w:val="0"/>
          </w:rPr>
          <w:t xml:space="preserve">https://www.funcas.es/revista/la-inteligencia-artificial-en-el-sistema-educativo-resumenes-ejecutivos/</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training empowers underserved youth in Argentina - UNESCO, fecha de acceso: abril 23, 2026, </w:t>
      </w:r>
      <w:hyperlink r:id="rId36">
        <w:r w:rsidDel="00000000" w:rsidR="00000000" w:rsidRPr="00000000">
          <w:rPr>
            <w:rFonts w:ascii="Google Sans" w:cs="Google Sans" w:eastAsia="Google Sans" w:hAnsi="Google Sans"/>
            <w:color w:val="0000ee"/>
            <w:sz w:val="24"/>
            <w:szCs w:val="24"/>
            <w:u w:val="single"/>
            <w:rtl w:val="0"/>
          </w:rPr>
          <w:t xml:space="preserve">https://www.unesco.org/en/articles/generative-ai-training-empowers-underserved-youth-argentina-brazil-colombia-and-mexico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pository.up.ac.za/server/api/core/bitstreams/f35f263d-5101-4eda-9827-2f36ed7c0fba/content" TargetMode="External"/><Relationship Id="rId22" Type="http://schemas.openxmlformats.org/officeDocument/2006/relationships/hyperlink" Target="https://scholarworks.wm.edu/bitstreams/76f383db-1ad0-4d98-a640-d0723865efaa/download" TargetMode="External"/><Relationship Id="rId21" Type="http://schemas.openxmlformats.org/officeDocument/2006/relationships/hyperlink" Target="https://www.clayss.org/wp-content/uploads/2023/07/ESP_Tzhoecoen_5.pdf" TargetMode="External"/><Relationship Id="rId24" Type="http://schemas.openxmlformats.org/officeDocument/2006/relationships/hyperlink" Target="https://8allocate.com/blog/designing-adaptive-learning-paths-with-agentic-ai-autogen-patterns/" TargetMode="External"/><Relationship Id="rId23" Type="http://schemas.openxmlformats.org/officeDocument/2006/relationships/hyperlink" Target="https://www.mdpi.com/2414-4088/10/1/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arch.astate.edu/cgi/viewcontent.cgi?article=1125&amp;context=all-etd" TargetMode="External"/><Relationship Id="rId25" Type="http://schemas.openxmlformats.org/officeDocument/2006/relationships/hyperlink" Target="https://gc.scalahed.com/recursos/files/r161r/w24997w/DuckworthAngela_Grit_ElPoderDeLaPasionLaPerseverancia.pdf" TargetMode="External"/><Relationship Id="rId28" Type="http://schemas.openxmlformats.org/officeDocument/2006/relationships/hyperlink" Target="https://www.unops.org/news-and-stories/stories/enhancing-digital-education-in-argentina" TargetMode="External"/><Relationship Id="rId27" Type="http://schemas.openxmlformats.org/officeDocument/2006/relationships/hyperlink" Target="https://www.scribd.com/document/919292725/Ifow-Report-Final"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yperlink" Target="https://www.researchgate.net/publication/391261595_Environments_and_the_experience_of_flow_A_scoping_review" TargetMode="Externa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journals.humankinetics.com/downloadpdf/journals/jsep/39/1/article-p29.pdf" TargetMode="External"/><Relationship Id="rId30" Type="http://schemas.openxmlformats.org/officeDocument/2006/relationships/hyperlink" Target="https://www.tandfonline.com/doi/pdf/10.1080/0144929X.2025.2574368" TargetMode="External"/><Relationship Id="rId11" Type="http://schemas.openxmlformats.org/officeDocument/2006/relationships/image" Target="media/image4.png"/><Relationship Id="rId33" Type="http://schemas.openxmlformats.org/officeDocument/2006/relationships/hyperlink" Target="https://www.scielo.org.mx/scielo.php?script=sci_arttext&amp;pid=S2007-74672021000100115" TargetMode="External"/><Relationship Id="rId10" Type="http://schemas.openxmlformats.org/officeDocument/2006/relationships/image" Target="media/image1.png"/><Relationship Id="rId32" Type="http://schemas.openxmlformats.org/officeDocument/2006/relationships/hyperlink" Target="https://www.tandfonline.com/doi/full/10.1080/0144929X.2025.2574368" TargetMode="External"/><Relationship Id="rId13" Type="http://schemas.openxmlformats.org/officeDocument/2006/relationships/hyperlink" Target="https://publications.iadb.org/publications/english/document/digital-inclusion-strategies-a-primer-for-latin-american-policymakers.pdf" TargetMode="External"/><Relationship Id="rId35" Type="http://schemas.openxmlformats.org/officeDocument/2006/relationships/hyperlink" Target="https://www.funcas.es/revista/la-inteligencia-artificial-en-el-sistema-educativo-resumenes-ejecutivos/" TargetMode="External"/><Relationship Id="rId12" Type="http://schemas.openxmlformats.org/officeDocument/2006/relationships/hyperlink" Target="https://www.unicef.org/lac/media/53636/file/Accelerating_Digital_Transformation_EN_FINAL.pdf.pdf" TargetMode="External"/><Relationship Id="rId34" Type="http://schemas.openxmlformats.org/officeDocument/2006/relationships/hyperlink" Target="https://www.unir.net/revista/educacion/ia-para-personalizar-aprendizaje-mejorar-educacion-primaria/" TargetMode="External"/><Relationship Id="rId15" Type="http://schemas.openxmlformats.org/officeDocument/2006/relationships/hyperlink" Target="https://postgrado.info.unlp.edu.ar/wp-content/uploads/2014/07/Huapaya.pdf" TargetMode="External"/><Relationship Id="rId14" Type="http://schemas.openxmlformats.org/officeDocument/2006/relationships/hyperlink" Target="https://www.mdpi.com/1099-4300/28/4/377" TargetMode="External"/><Relationship Id="rId36" Type="http://schemas.openxmlformats.org/officeDocument/2006/relationships/hyperlink" Target="https://www.unesco.org/en/articles/generative-ai-training-empowers-underserved-youth-argentina-brazil-colombia-and-mexico" TargetMode="External"/><Relationship Id="rId17" Type="http://schemas.openxmlformats.org/officeDocument/2006/relationships/hyperlink" Target="https://www.fhi360.org/wp-content/uploads/2024/02/resource-bridging-skills-gap-spanish.pdf" TargetMode="External"/><Relationship Id="rId16" Type="http://schemas.openxmlformats.org/officeDocument/2006/relationships/hyperlink" Target="https://www.un.org/democracyfund/news/strengthening-argentinian-youth-digital-communication-and-civic-participation-skills" TargetMode="External"/><Relationship Id="rId19" Type="http://schemas.openxmlformats.org/officeDocument/2006/relationships/hyperlink" Target="https://ru.atheneadigital.filos.unam.mx/jspui/bitstream/FFYL_UNAM/9581/1/Educacion%20no%20formal-FINAL%20%282%29.pdf" TargetMode="External"/><Relationship Id="rId18" Type="http://schemas.openxmlformats.org/officeDocument/2006/relationships/hyperlink" Target="https://publications.iadb.org/publications/spanish/document/Alfabetizacion-inteligencia-artificial-IA.-Desafios-y-oportunidades-en-Argentina.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