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Control Interno y Segregación de Funciones</w:t>
      </w:r>
    </w:p>
    <w:p>
      <w:r>
        <w:br/>
      </w:r>
    </w:p>
    <w:p>
      <w:pPr>
        <w:jc w:val="both"/>
      </w:pPr>
      <w:r>
        <w:t>Este documento define el modelo de Control Interno implementado en el sistema MultiMCP, alineado con las mejores prácticas de auditoría y seguridad de la información.</w:t>
      </w:r>
    </w:p>
    <w:p>
      <w:r>
        <w:t>Objetivo: Garantizar la integridad de las operaciones financieras y logísticas mediante una estricta Segregación de Funciones (SoD), asegurando que ninguna persona tenga control total sobre una transacción crítica.</w:t>
      </w:r>
    </w:p>
    <w:p>
      <w:r>
        <w:br w:type="page"/>
      </w:r>
    </w:p>
    <w:p>
      <w:pPr>
        <w:pStyle w:val="Heading1"/>
      </w:pPr>
      <w:r>
        <w:t>1. Ciclo de Compras (Procure-to-Pay)</w:t>
      </w:r>
    </w:p>
    <w:p>
      <w:r>
        <w:t>Control del egreso por adquisiciones. Se mitiga el riesgo de compras innecesarias o a proveedores no autorizados.</w:t>
      </w:r>
    </w:p>
    <w:p>
      <w:r>
        <w:drawing>
          <wp:inline xmlns:a="http://schemas.openxmlformats.org/drawingml/2006/main" xmlns:pic="http://schemas.openxmlformats.org/drawingml/2006/picture">
            <wp:extent cx="5943600" cy="60551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mpras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2. Ciclo de Pagos (Treasury Out)</w:t>
      </w:r>
    </w:p>
    <w:p>
      <w:r>
        <w:t>Control de fondos salientes. Se mitiga el riesgo de pagos duplicados o fraudulentos.</w:t>
      </w:r>
    </w:p>
    <w:p>
      <w:r>
        <w:drawing>
          <wp:inline xmlns:a="http://schemas.openxmlformats.org/drawingml/2006/main" xmlns:pic="http://schemas.openxmlformats.org/drawingml/2006/picture">
            <wp:extent cx="5943600" cy="6055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agos_v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3. Ciclo de Ventas (Order-to-Cash)</w:t>
      </w:r>
    </w:p>
    <w:p>
      <w:r>
        <w:t>Control de ingresos y stock. Se mitiga el riesgo de entrega de mercadería sin facturación o ventas a crédito no autorizadas.</w:t>
      </w:r>
    </w:p>
    <w:p>
      <w:r>
        <w:drawing>
          <wp:inline xmlns:a="http://schemas.openxmlformats.org/drawingml/2006/main" xmlns:pic="http://schemas.openxmlformats.org/drawingml/2006/picture">
            <wp:extent cx="5943600" cy="60551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ventas_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br w:type="page"/>
      </w:r>
    </w:p>
    <w:p>
      <w:pPr>
        <w:pStyle w:val="Heading1"/>
      </w:pPr>
      <w:r>
        <w:t>4. Ciclo de Cobranzas (Treasury In)</w:t>
      </w:r>
    </w:p>
    <w:p>
      <w:r>
        <w:t>Control de recaudación. Se mitiga el riesgo de retención indebida de valores.</w:t>
      </w:r>
    </w:p>
    <w:p>
      <w:r>
        <w:drawing>
          <wp:inline xmlns:a="http://schemas.openxmlformats.org/drawingml/2006/main" xmlns:pic="http://schemas.openxmlformats.org/drawingml/2006/picture">
            <wp:extent cx="5943600" cy="47660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cobranzas_v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0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Anexo: Matriz de Riesgos y Controles (Auditoría)</w:t>
      </w:r>
    </w:p>
    <w:p>
      <w:r>
        <w:t>La siguiente matriz detalla los riesgos operativos identificados y los controles mitigantes implementados mediante la segregación de funciones (SoD).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Riesgo Identificado</w:t>
            </w:r>
          </w:p>
        </w:tc>
        <w:tc>
          <w:tcPr>
            <w:tcW w:type="dxa" w:w="2880"/>
          </w:tcPr>
          <w:p>
            <w:r>
              <w:t>Control de Sistema (SoD)</w:t>
            </w:r>
          </w:p>
        </w:tc>
        <w:tc>
          <w:tcPr>
            <w:tcW w:type="dxa" w:w="2880"/>
          </w:tcPr>
          <w:p>
            <w:r>
              <w:t>Roles Separados</w:t>
            </w:r>
          </w:p>
        </w:tc>
      </w:tr>
      <w:tr>
        <w:tc>
          <w:tcPr>
            <w:tcW w:type="dxa" w:w="2880"/>
          </w:tcPr>
          <w:p>
            <w:r>
              <w:t>Compras Ficticias / Fraude en Adquisiciones</w:t>
            </w:r>
          </w:p>
        </w:tc>
        <w:tc>
          <w:tcPr>
            <w:tcW w:type="dxa" w:w="2880"/>
          </w:tcPr>
          <w:p>
            <w:r>
              <w:t>Requerimiento de aprobación gerencial y recepción independiente.</w:t>
            </w:r>
          </w:p>
        </w:tc>
        <w:tc>
          <w:tcPr>
            <w:tcW w:type="dxa" w:w="2880"/>
          </w:tcPr>
          <w:p>
            <w:r>
              <w:t>Solicitante vs Aprobador vs Comprador vs Recepcionista</w:t>
            </w:r>
          </w:p>
        </w:tc>
      </w:tr>
      <w:tr>
        <w:tc>
          <w:tcPr>
            <w:tcW w:type="dxa" w:w="2880"/>
          </w:tcPr>
          <w:p>
            <w:r>
              <w:t>Pagos no Autorizados / Malversación</w:t>
            </w:r>
          </w:p>
        </w:tc>
        <w:tc>
          <w:tcPr>
            <w:tcW w:type="dxa" w:w="2880"/>
          </w:tcPr>
          <w:p>
            <w:r>
              <w:t>Three-Way Match (Factura, OC, Recepción) requerido antes del pago.</w:t>
            </w:r>
          </w:p>
        </w:tc>
        <w:tc>
          <w:tcPr>
            <w:tcW w:type="dxa" w:w="2880"/>
          </w:tcPr>
          <w:p>
            <w:r>
              <w:t>Cuentas por Pagar vs Autorizador vs Tesorero</w:t>
            </w:r>
          </w:p>
        </w:tc>
      </w:tr>
      <w:tr>
        <w:tc>
          <w:tcPr>
            <w:tcW w:type="dxa" w:w="2880"/>
          </w:tcPr>
          <w:p>
            <w:r>
              <w:t>Robo de Mercadería / Faltante de Stock</w:t>
            </w:r>
          </w:p>
        </w:tc>
        <w:tc>
          <w:tcPr>
            <w:tcW w:type="dxa" w:w="2880"/>
          </w:tcPr>
          <w:p>
            <w:r>
              <w:t>Separación entre quien factura y quien despacha.</w:t>
            </w:r>
          </w:p>
        </w:tc>
        <w:tc>
          <w:tcPr>
            <w:tcW w:type="dxa" w:w="2880"/>
          </w:tcPr>
          <w:p>
            <w:r>
              <w:t>Facturación vs Almacenista</w:t>
            </w:r>
          </w:p>
        </w:tc>
      </w:tr>
      <w:tr>
        <w:tc>
          <w:tcPr>
            <w:tcW w:type="dxa" w:w="2880"/>
          </w:tcPr>
          <w:p>
            <w:r>
              <w:t>Jineteo de Fondos (Laaping) en Cobranzas</w:t>
            </w:r>
          </w:p>
        </w:tc>
        <w:tc>
          <w:tcPr>
            <w:tcW w:type="dxa" w:w="2880"/>
          </w:tcPr>
          <w:p>
            <w:r>
              <w:t>Separación entre quien emite recibo y quien custodia/deposita valores.</w:t>
            </w:r>
          </w:p>
        </w:tc>
        <w:tc>
          <w:tcPr>
            <w:tcW w:type="dxa" w:w="2880"/>
          </w:tcPr>
          <w:p>
            <w:r>
              <w:t>Cobranzas vs Tesorería vs Contabilidad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