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Usuario: Segregación de Funciones (SoD)</w:t>
      </w:r>
    </w:p>
    <w:p>
      <w:r>
        <w:t>Este documento describe los flujos de trabajo seguros implementados en el sistema MultiMCP.</w:t>
      </w:r>
    </w:p>
    <w:p>
      <w:r>
        <w:t>Cada proceso requiere la colaboración de múltiples roles para garantizar el control y la transparencia. A continuación se detallan los circuitos gráficos.</w:t>
      </w:r>
    </w:p>
    <w:p>
      <w:r>
        <w:br w:type="page"/>
      </w:r>
    </w:p>
    <w:p>
      <w:pPr>
        <w:pStyle w:val="Heading1"/>
      </w:pPr>
      <w:r>
        <w:t>1. Ciclo de Compras (Procure-to-Pay)</w:t>
      </w:r>
    </w:p>
    <w:p>
      <w:r>
        <w:t>El proceso de compra asegura que quien pide, quien autoriza, quien compra y quien recibe sean personas distintas.</w:t>
      </w:r>
    </w:p>
    <w:p>
      <w:r>
        <w:drawing>
          <wp:inline xmlns:a="http://schemas.openxmlformats.org/drawingml/2006/main" xmlns:pic="http://schemas.openxmlformats.org/drawingml/2006/picture">
            <wp:extent cx="5486400" cy="4794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compr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4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br w:type="page"/>
      </w:r>
    </w:p>
    <w:p>
      <w:pPr>
        <w:pStyle w:val="Heading1"/>
      </w:pPr>
      <w:r>
        <w:t>2. Ciclo de Pagos (Treasury Out)</w:t>
      </w:r>
    </w:p>
    <w:p>
      <w:r>
        <w:t>Control cruzado para el egreso de fondos. Nadie puede pagar sin una autorización previa basada en documentación real.</w:t>
      </w:r>
    </w:p>
    <w:p>
      <w:r>
        <w:drawing>
          <wp:inline xmlns:a="http://schemas.openxmlformats.org/drawingml/2006/main" xmlns:pic="http://schemas.openxmlformats.org/drawingml/2006/picture">
            <wp:extent cx="5486400" cy="47941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pag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4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br w:type="page"/>
      </w:r>
    </w:p>
    <w:p>
      <w:pPr>
        <w:pStyle w:val="Heading1"/>
      </w:pPr>
      <w:r>
        <w:t>3. Ciclo de Ventas (Order-to-Cash)</w:t>
      </w:r>
    </w:p>
    <w:p>
      <w:r>
        <w:t>Segregación entre quien negocia, quien factura y quien entrega la mercadería.</w:t>
      </w:r>
    </w:p>
    <w:p>
      <w:r>
        <w:drawing>
          <wp:inline xmlns:a="http://schemas.openxmlformats.org/drawingml/2006/main" xmlns:pic="http://schemas.openxmlformats.org/drawingml/2006/picture">
            <wp:extent cx="5486400" cy="47941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ven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4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br w:type="page"/>
      </w:r>
    </w:p>
    <w:p>
      <w:pPr>
        <w:pStyle w:val="Heading1"/>
      </w:pPr>
      <w:r>
        <w:t>4. Ciclo de Cobranzas (Treasury In)</w:t>
      </w:r>
    </w:p>
    <w:p>
      <w:r>
        <w:t>Control de ingresos para asegurar que todo lo cobrado se deposite correctamente.</w:t>
      </w:r>
    </w:p>
    <w:p>
      <w:r>
        <w:drawing>
          <wp:inline xmlns:a="http://schemas.openxmlformats.org/drawingml/2006/main" xmlns:pic="http://schemas.openxmlformats.org/drawingml/2006/picture">
            <wp:extent cx="5486400" cy="3804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cobranz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4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