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Maestro de Avance y Costos (MSAC v4.2)</w:t>
      </w:r>
    </w:p>
    <w:p>
      <w:r>
        <w:t>Generado automáticamente por el Sistema de Seguimiento Colosal ERP.</w:t>
        <w:br/>
        <w:br/>
        <w:t>Este documento presenta el estado de avance actual de la arquitectura industrial, los hitos consolidados, y la proyección de esfuerzo/costo para las fases subsiguientes (estimado en horas de desarrollo y consultoría experta).</w:t>
      </w:r>
    </w:p>
    <w:p>
      <w:pPr>
        <w:pStyle w:val="Heading1"/>
      </w:pPr>
      <w:r>
        <w:t>Fase 1: Estructura Industrial, BOM &amp; Estándares</w:t>
      </w:r>
    </w:p>
    <w:p>
      <w:pPr>
        <w:pStyle w:val="IntenseQuote"/>
      </w:pPr>
      <w:r>
        <w:t>Estado: COMPLETADA (100%)</w:t>
        <w:br/>
        <w:t>Costo Pendiente: 0 hrs (Fase Consolidada y Entregada)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Sub-Fase / Módulo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Impacto / Resumen</w:t>
            </w:r>
          </w:p>
        </w:tc>
      </w:tr>
      <w:tr>
        <w:tc>
          <w:tcPr>
            <w:tcW w:type="dxa" w:w="2880"/>
          </w:tcPr>
          <w:p>
            <w:r>
              <w:t>1.1 Maestro Multi-Origen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Compras Locales, Importadas, Producción y Fazón.</w:t>
            </w:r>
          </w:p>
        </w:tc>
      </w:tr>
      <w:tr>
        <w:tc>
          <w:tcPr>
            <w:tcW w:type="dxa" w:w="2880"/>
          </w:tcPr>
          <w:p>
            <w:r>
              <w:t>1.2 Bill of Materials (BOM)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Recetas recursivas y explosión multi-nivel.</w:t>
            </w:r>
          </w:p>
        </w:tc>
      </w:tr>
      <w:tr>
        <w:tc>
          <w:tcPr>
            <w:tcW w:type="dxa" w:w="2880"/>
          </w:tcPr>
          <w:p>
            <w:r>
              <w:t>1.3 Carga de Costos Indirectos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Overhead y Mano de Obra vía Standard Costing.</w:t>
            </w:r>
          </w:p>
        </w:tc>
      </w:tr>
      <w:tr>
        <w:tc>
          <w:tcPr>
            <w:tcW w:type="dxa" w:w="2880"/>
          </w:tcPr>
          <w:p>
            <w:r>
              <w:t>1.4 Módulo Consignación &amp; Fazón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Estructura de base de datos para Talleres Externos.</w:t>
            </w:r>
          </w:p>
        </w:tc>
      </w:tr>
      <w:tr>
        <w:tc>
          <w:tcPr>
            <w:tcW w:type="dxa" w:w="2880"/>
          </w:tcPr>
          <w:p>
            <w:r>
              <w:t>1.5 Calidad &amp; Técnico Legal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Repositorio Polimórfico (RNE, RNPA, ISO).</w:t>
            </w:r>
          </w:p>
        </w:tc>
      </w:tr>
      <w:tr>
        <w:tc>
          <w:tcPr>
            <w:tcW w:type="dxa" w:w="2880"/>
          </w:tcPr>
          <w:p>
            <w:r>
              <w:t>1.6 Auditoría e Integridad SQL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Reconciliación de permisos y estructura SQL masiva.</w:t>
            </w:r>
          </w:p>
        </w:tc>
      </w:tr>
      <w:tr>
        <w:tc>
          <w:tcPr>
            <w:tcW w:type="dxa" w:w="2880"/>
          </w:tcPr>
          <w:p>
            <w:r>
              <w:t>1.7 Tunning Experto BD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Generación de +400 índices para alto volumen.</w:t>
            </w:r>
          </w:p>
        </w:tc>
      </w:tr>
    </w:tbl>
    <w:p>
      <w:r>
        <w:br w:type="page"/>
      </w:r>
    </w:p>
    <w:p>
      <w:pPr>
        <w:pStyle w:val="Heading1"/>
      </w:pPr>
      <w:r>
        <w:t>Fase 2: Proyectos R&amp;D y Trazabilidad Transformacional</w:t>
      </w:r>
    </w:p>
    <w:p>
      <w:pPr>
        <w:pStyle w:val="IntenseQuote"/>
      </w:pPr>
      <w:r>
        <w:t>Estado: EN EJECUCIÓN</w:t>
        <w:br/>
        <w:t>Costo Pendiente Restante: 120 hrs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Sub-Fase / Módulo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Costo Estimado</w:t>
            </w:r>
          </w:p>
        </w:tc>
        <w:tc>
          <w:tcPr>
            <w:tcW w:type="dxa" w:w="2160"/>
          </w:tcPr>
          <w:p>
            <w:r>
              <w:t>Detalle Técnico</w:t>
            </w:r>
          </w:p>
        </w:tc>
      </w:tr>
      <w:tr>
        <w:tc>
          <w:tcPr>
            <w:tcW w:type="dxa" w:w="2160"/>
          </w:tcPr>
          <w:p>
            <w:r>
              <w:t>2.1 Módulo Proyectos de Desarrollo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0 hrs</w:t>
            </w:r>
          </w:p>
        </w:tc>
        <w:tc>
          <w:tcPr>
            <w:tcW w:type="dxa" w:w="2160"/>
          </w:tcPr>
          <w:p>
            <w:r>
              <w:t>Maestro I+D, Gastos de Ingeniería y Fases (Evaluación a Aprobado) ya en Base de Datos.</w:t>
            </w:r>
          </w:p>
        </w:tc>
      </w:tr>
      <w:tr>
        <w:tc>
          <w:tcPr>
            <w:tcW w:type="dxa" w:w="2160"/>
          </w:tcPr>
          <w:p>
            <w:r>
              <w:t>2.2 Interfaz Fazón &amp; Liquidación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50 hrs</w:t>
            </w:r>
          </w:p>
        </w:tc>
        <w:tc>
          <w:tcPr>
            <w:tcW w:type="dxa" w:w="2160"/>
          </w:tcPr>
          <w:p>
            <w:r>
              <w:t>Desarrollo de pantallas (Front-end/Routes) para despacho a Taller Externo y liquidación de consumo vs devoluciones.</w:t>
            </w:r>
          </w:p>
        </w:tc>
      </w:tr>
      <w:tr>
        <w:tc>
          <w:tcPr>
            <w:tcW w:type="dxa" w:w="2160"/>
          </w:tcPr>
          <w:p>
            <w:r>
              <w:t>2.3 Layer Roll-up (Producción)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70 hrs</w:t>
            </w:r>
          </w:p>
        </w:tc>
        <w:tc>
          <w:tcPr>
            <w:tcW w:type="dxa" w:w="2160"/>
          </w:tcPr>
          <w:p>
            <w:r>
              <w:t>Desarrollo del motor de cierre productivo. Capitaliza costo de materiales FIFO + Overhead + Calidad.</w:t>
            </w:r>
          </w:p>
        </w:tc>
      </w:tr>
    </w:tbl>
    <w:p>
      <w:r>
        <w:br/>
      </w:r>
    </w:p>
    <w:p>
      <w:pPr>
        <w:pStyle w:val="Heading1"/>
      </w:pPr>
      <w:r>
        <w:t>Fase 3: Valuation, Margins &amp; Finanzas</w:t>
      </w:r>
    </w:p>
    <w:p>
      <w:pPr>
        <w:pStyle w:val="IntenseQuote"/>
      </w:pPr>
      <w:r>
        <w:t>Estado: PENDIENTE</w:t>
        <w:br/>
        <w:t>Costo Pendiente Restante: 160 hrs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Sub-Fase / Módulo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Costo Estimado</w:t>
            </w:r>
          </w:p>
        </w:tc>
        <w:tc>
          <w:tcPr>
            <w:tcW w:type="dxa" w:w="2160"/>
          </w:tcPr>
          <w:p>
            <w:r>
              <w:t>Detalle Técnico</w:t>
            </w:r>
          </w:p>
        </w:tc>
      </w:tr>
      <w:tr>
        <w:tc>
          <w:tcPr>
            <w:tcW w:type="dxa" w:w="2160"/>
          </w:tcPr>
          <w:p>
            <w:r>
              <w:t>3.1 FIFO/WAC Across Layers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60 hrs</w:t>
            </w:r>
          </w:p>
        </w:tc>
        <w:tc>
          <w:tcPr>
            <w:tcW w:type="dxa" w:w="2160"/>
          </w:tcPr>
          <w:p>
            <w:r>
              <w:t>Módulo financiero de recálculo de costos en cascada para productos terminados basados en el costo real del insumo importado o fabricado.</w:t>
            </w:r>
          </w:p>
        </w:tc>
      </w:tr>
      <w:tr>
        <w:tc>
          <w:tcPr>
            <w:tcW w:type="dxa" w:w="2160"/>
          </w:tcPr>
          <w:p>
            <w:r>
              <w:t>3.2 Dynamic Margin Engine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60 hrs</w:t>
            </w:r>
          </w:p>
        </w:tc>
        <w:tc>
          <w:tcPr>
            <w:tcW w:type="dxa" w:w="2160"/>
          </w:tcPr>
          <w:p>
            <w:r>
              <w:t>Pantalla de fijación y simulación de precios. Costo + Margen Bruto vs Neto + Impuestos.</w:t>
            </w:r>
          </w:p>
        </w:tc>
      </w:tr>
      <w:tr>
        <w:tc>
          <w:tcPr>
            <w:tcW w:type="dxa" w:w="2160"/>
          </w:tcPr>
          <w:p>
            <w:r>
              <w:t>3.3 Pricing Synchronization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40 hrs</w:t>
            </w:r>
          </w:p>
        </w:tc>
        <w:tc>
          <w:tcPr>
            <w:tcW w:type="dxa" w:w="2160"/>
          </w:tcPr>
          <w:p>
            <w:r>
              <w:t>Jobs Asíncronos. Alertas cuando un proveedor varía el precio impactando en la rentabilidad industrial.</w:t>
            </w:r>
          </w:p>
        </w:tc>
      </w:tr>
    </w:tbl>
    <w:p>
      <w:r>
        <w:br/>
      </w:r>
    </w:p>
    <w:p>
      <w:pPr>
        <w:pStyle w:val="Heading1"/>
      </w:pPr>
      <w:r>
        <w:t>Fase 4: Compliance, Audit &amp; Operativa</w:t>
      </w:r>
    </w:p>
    <w:p>
      <w:pPr>
        <w:pStyle w:val="IntenseQuote"/>
      </w:pPr>
      <w:r>
        <w:t>Estado: EN EJECUCIÓN PARCIAL</w:t>
        <w:br/>
        <w:t>Costo Pendiente Restante: 50 hrs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Sub-Fase / Módulo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Costo Estimado</w:t>
            </w:r>
          </w:p>
        </w:tc>
        <w:tc>
          <w:tcPr>
            <w:tcW w:type="dxa" w:w="2160"/>
          </w:tcPr>
          <w:p>
            <w:r>
              <w:t>Detalle Técnico</w:t>
            </w:r>
          </w:p>
        </w:tc>
      </w:tr>
      <w:tr>
        <w:tc>
          <w:tcPr>
            <w:tcW w:type="dxa" w:w="2160"/>
          </w:tcPr>
          <w:p>
            <w:r>
              <w:t>4.1 CISA/SOX &amp; Tracker Requisitos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0 hrs</w:t>
            </w:r>
          </w:p>
        </w:tc>
        <w:tc>
          <w:tcPr>
            <w:tcW w:type="dxa" w:w="2160"/>
          </w:tcPr>
          <w:p>
            <w:r>
              <w:t>Matriz de segregación SoD, y Módulo Gestor de Requerimientos (Tickets) integrados hoy.</w:t>
            </w:r>
          </w:p>
        </w:tc>
      </w:tr>
      <w:tr>
        <w:tc>
          <w:tcPr>
            <w:tcW w:type="dxa" w:w="2160"/>
          </w:tcPr>
          <w:p>
            <w:r>
              <w:t>4.2 Módulo de Alertas Legales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20 hrs</w:t>
            </w:r>
          </w:p>
        </w:tc>
        <w:tc>
          <w:tcPr>
            <w:tcW w:type="dxa" w:w="2160"/>
          </w:tcPr>
          <w:p>
            <w:r>
              <w:t>Job automático para detectar vencimientos de RNE/RNPA/ISO y envío de correos preventivos.</w:t>
            </w:r>
          </w:p>
        </w:tc>
      </w:tr>
      <w:tr>
        <w:tc>
          <w:tcPr>
            <w:tcW w:type="dxa" w:w="2160"/>
          </w:tcPr>
          <w:p>
            <w:r>
              <w:t>4.3 Real vs Theoretical Loss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30 hrs</w:t>
            </w:r>
          </w:p>
        </w:tc>
        <w:tc>
          <w:tcPr>
            <w:tcW w:type="dxa" w:w="2160"/>
          </w:tcPr>
          <w:p>
            <w:r>
              <w:t>Analítica para diferenciar Mermas productivas (Pérdidas) de Scrap Vendible (Activo Valorizado).</w:t>
            </w:r>
          </w:p>
        </w:tc>
      </w:tr>
    </w:tbl>
    <w:p>
      <w:pPr>
        <w:pStyle w:val="Heading2"/>
      </w:pPr>
      <w:r>
        <w:t>Resumen de Costos Estimados (Esfuerzo)</w:t>
      </w:r>
    </w:p>
    <w:p>
      <w:r>
        <w:rPr>
          <w:b/>
        </w:rPr>
        <w:t xml:space="preserve">Costo Acumulado Fase 1 y entregables de Arquitectura Base: </w:t>
      </w:r>
      <w:r>
        <w:t>Pagado / Consolidado</w:t>
        <w:br/>
      </w:r>
      <w:r>
        <w:rPr>
          <w:b/>
        </w:rPr>
        <w:t xml:space="preserve">Costo Tostalo Proyectado para Fases 2, 3 y 4 (Módulos Finales UI/UX y Motores Asíncronos): </w:t>
      </w:r>
      <w:r>
        <w:t>330 hrs de Ingeniería y Consultoría Técnica.</w:t>
        <w:br/>
        <w:br/>
      </w:r>
      <w:r>
        <w:rPr>
          <w:b/>
        </w:rPr>
        <w:t xml:space="preserve">Nota de Ejecución: </w:t>
      </w:r>
      <w:r>
        <w:t>Se recomienda priorizar la "Sub-fase 2.2" (Interfaz Fazón y Liquidación) dado que su arquitectura de Base de Datos y Repositorio Documental ya se encuentra 100% instalada en producción y su retorno operativo es masivo e inmediato para la tercerización de costura/armado.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