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platform using EKS Pod Identity, Karpenter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(FastAPI) microservices and an agentic logistics system using LangChain and Azure OpenAI to assign cargo to vessels based on dimensions, routes, and priorities, deployed on Azure Kubernetes Service (AKS); evaluated local LLM runtimes (Ollama, Qwen, DeepSeek) with LangSmith tracing.</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ElastiCache Redis to Valkey,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to Amazon EKS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and AWS CDK with Go; integrated Datadog and ELK Stack monitoring across migrated workloads, and orchestrated MongoDB and MSSQL cutovers to AWS RDS.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secrets management across multi-cloud environments.</w:t>
      </w:r>
    </w:p>
    <w:p>
      <w:pPr>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reducing manual intervention and minimizing human error in Windows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clusters in AWS Canada Central using kOps with least-privilege IAM security controls prior to regional EKS availability.</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components.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built streaming data transformations with Kafka, Flink, and Apache Spark.</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SaltStack, and Python; established HashiCorp Vault encryption for sensitive data.</w:t>
      </w:r>
    </w:p>
    <w:p>
      <w:pPr>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