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770" w:rsidRPr="003D3929" w:rsidRDefault="00884770" w:rsidP="00884770">
      <w:pPr>
        <w:rPr>
          <w:rFonts w:cs="Times New Roman"/>
          <w:b/>
          <w:color w:val="auto"/>
          <w:sz w:val="22"/>
          <w:szCs w:val="22"/>
          <w:u w:val="single"/>
        </w:rPr>
      </w:pPr>
      <w:r>
        <w:rPr>
          <w:rFonts w:cs="Times New Roman"/>
          <w:b/>
          <w:color w:val="auto"/>
          <w:sz w:val="22"/>
          <w:szCs w:val="22"/>
          <w:u w:val="single"/>
        </w:rPr>
        <w:t>Ejercicio</w:t>
      </w:r>
      <w:r w:rsidRPr="00AC5B41">
        <w:rPr>
          <w:rFonts w:cs="Times New Roman"/>
          <w:b/>
          <w:color w:val="auto"/>
          <w:sz w:val="22"/>
          <w:szCs w:val="22"/>
          <w:u w:val="single"/>
        </w:rPr>
        <w:t xml:space="preserve"> </w:t>
      </w:r>
      <w:r>
        <w:rPr>
          <w:rFonts w:cs="Times New Roman"/>
          <w:b/>
          <w:color w:val="auto"/>
          <w:sz w:val="22"/>
          <w:szCs w:val="22"/>
          <w:u w:val="single"/>
        </w:rPr>
        <w:t>Leasing</w:t>
      </w:r>
      <w:r>
        <w:rPr>
          <w:rFonts w:cs="Times New Roman"/>
          <w:b/>
          <w:color w:val="auto"/>
          <w:sz w:val="22"/>
          <w:szCs w:val="22"/>
        </w:rPr>
        <w:tab/>
      </w:r>
      <w:r>
        <w:rPr>
          <w:rFonts w:cs="Times New Roman"/>
          <w:b/>
          <w:color w:val="auto"/>
          <w:sz w:val="22"/>
          <w:szCs w:val="22"/>
        </w:rPr>
        <w:tab/>
      </w:r>
    </w:p>
    <w:p w:rsidR="00884770" w:rsidRDefault="00884770" w:rsidP="00884770">
      <w:pPr>
        <w:rPr>
          <w:rFonts w:cs="Times New Roman"/>
          <w:b/>
          <w:color w:val="auto"/>
          <w:sz w:val="22"/>
          <w:szCs w:val="22"/>
        </w:rPr>
      </w:pPr>
    </w:p>
    <w:p w:rsidR="00884770" w:rsidRDefault="00884770" w:rsidP="00884770">
      <w:pPr>
        <w:rPr>
          <w:rFonts w:cs="Times New Roman"/>
          <w:color w:val="auto"/>
          <w:sz w:val="22"/>
          <w:szCs w:val="22"/>
        </w:rPr>
      </w:pPr>
      <w:r>
        <w:rPr>
          <w:rFonts w:cs="Times New Roman"/>
          <w:color w:val="auto"/>
          <w:sz w:val="22"/>
          <w:szCs w:val="22"/>
        </w:rPr>
        <w:t>La empresa Leas ha decido comprar una nueva línea de producción, para ello, dado que la actual planta no tiene capacidad para la nueva línea</w:t>
      </w:r>
      <w:r w:rsidR="00056485">
        <w:rPr>
          <w:rFonts w:cs="Times New Roman"/>
          <w:color w:val="auto"/>
          <w:sz w:val="22"/>
          <w:szCs w:val="22"/>
        </w:rPr>
        <w:t xml:space="preserve"> se ve obligada a buscar un terreno para instalar la nueva línea</w:t>
      </w:r>
      <w:r>
        <w:rPr>
          <w:rFonts w:cs="Times New Roman"/>
          <w:color w:val="auto"/>
          <w:sz w:val="22"/>
          <w:szCs w:val="22"/>
        </w:rPr>
        <w:t>. Leas analiza distintas alternativas de fi</w:t>
      </w:r>
      <w:r w:rsidR="00056485">
        <w:rPr>
          <w:rFonts w:cs="Times New Roman"/>
          <w:color w:val="auto"/>
          <w:sz w:val="22"/>
          <w:szCs w:val="22"/>
        </w:rPr>
        <w:t>nanciamiento decidiendo tomar dos</w:t>
      </w:r>
      <w:r>
        <w:rPr>
          <w:rFonts w:cs="Times New Roman"/>
          <w:color w:val="auto"/>
          <w:sz w:val="22"/>
          <w:szCs w:val="22"/>
        </w:rPr>
        <w:t xml:space="preserve"> contrato</w:t>
      </w:r>
      <w:r w:rsidR="00056485">
        <w:rPr>
          <w:rFonts w:cs="Times New Roman"/>
          <w:color w:val="auto"/>
          <w:sz w:val="22"/>
          <w:szCs w:val="22"/>
        </w:rPr>
        <w:t>s</w:t>
      </w:r>
      <w:r>
        <w:rPr>
          <w:rFonts w:cs="Times New Roman"/>
          <w:color w:val="auto"/>
          <w:sz w:val="22"/>
          <w:szCs w:val="22"/>
        </w:rPr>
        <w:t xml:space="preserve"> de arrendamiento ya que esto le permite llevar como </w:t>
      </w:r>
      <w:r w:rsidR="00056485">
        <w:rPr>
          <w:rFonts w:cs="Times New Roman"/>
          <w:color w:val="auto"/>
          <w:sz w:val="22"/>
          <w:szCs w:val="22"/>
        </w:rPr>
        <w:t>gasto tributario el pago de las cuotas</w:t>
      </w:r>
      <w:r>
        <w:rPr>
          <w:rFonts w:cs="Times New Roman"/>
          <w:color w:val="auto"/>
          <w:sz w:val="22"/>
          <w:szCs w:val="22"/>
        </w:rPr>
        <w:t>. Las condiciones de los contratos son las siguientes:</w:t>
      </w:r>
    </w:p>
    <w:p w:rsidR="00884770" w:rsidRDefault="00884770" w:rsidP="00884770">
      <w:pPr>
        <w:rPr>
          <w:rFonts w:cs="Times New Roman"/>
          <w:color w:val="auto"/>
          <w:sz w:val="22"/>
          <w:szCs w:val="22"/>
        </w:rPr>
      </w:pPr>
    </w:p>
    <w:p w:rsidR="00884770" w:rsidRPr="00DB6103" w:rsidRDefault="00884770" w:rsidP="00884770">
      <w:pPr>
        <w:rPr>
          <w:rFonts w:cs="Times New Roman"/>
          <w:color w:val="auto"/>
          <w:sz w:val="22"/>
          <w:szCs w:val="22"/>
          <w:u w:val="single"/>
        </w:rPr>
      </w:pPr>
      <w:r w:rsidRPr="00DB6103">
        <w:rPr>
          <w:rFonts w:cs="Times New Roman"/>
          <w:color w:val="auto"/>
          <w:sz w:val="22"/>
          <w:szCs w:val="22"/>
          <w:u w:val="single"/>
        </w:rPr>
        <w:t>Terreno:</w:t>
      </w:r>
    </w:p>
    <w:p w:rsidR="00884770" w:rsidRDefault="00884770" w:rsidP="00884770">
      <w:pPr>
        <w:rPr>
          <w:rFonts w:cs="Times New Roman"/>
          <w:color w:val="auto"/>
          <w:sz w:val="22"/>
          <w:szCs w:val="22"/>
        </w:rPr>
      </w:pPr>
    </w:p>
    <w:p w:rsidR="00884770" w:rsidRDefault="002B474C" w:rsidP="00884770">
      <w:pPr>
        <w:rPr>
          <w:rFonts w:cs="Times New Roman"/>
          <w:color w:val="auto"/>
          <w:sz w:val="22"/>
          <w:szCs w:val="22"/>
        </w:rPr>
      </w:pPr>
      <w:r>
        <w:rPr>
          <w:rFonts w:cs="Times New Roman"/>
          <w:color w:val="auto"/>
          <w:sz w:val="22"/>
          <w:szCs w:val="22"/>
        </w:rPr>
        <w:t>Valor del activo a valor de mercado</w:t>
      </w:r>
      <w:r w:rsidR="00884770">
        <w:rPr>
          <w:rFonts w:cs="Times New Roman"/>
          <w:color w:val="auto"/>
          <w:sz w:val="22"/>
          <w:szCs w:val="22"/>
        </w:rPr>
        <w:tab/>
      </w:r>
      <w:r w:rsidR="00884770">
        <w:rPr>
          <w:rFonts w:cs="Times New Roman"/>
          <w:color w:val="auto"/>
          <w:sz w:val="22"/>
          <w:szCs w:val="22"/>
        </w:rPr>
        <w:tab/>
      </w:r>
      <w:r>
        <w:rPr>
          <w:rFonts w:cs="Times New Roman"/>
          <w:color w:val="auto"/>
          <w:sz w:val="22"/>
          <w:szCs w:val="22"/>
        </w:rPr>
        <w:t>: $ 625.000.000</w:t>
      </w:r>
    </w:p>
    <w:p w:rsidR="00884770" w:rsidRDefault="00884770" w:rsidP="00884770">
      <w:pPr>
        <w:rPr>
          <w:rFonts w:cs="Times New Roman"/>
          <w:color w:val="auto"/>
          <w:sz w:val="22"/>
          <w:szCs w:val="22"/>
        </w:rPr>
      </w:pPr>
      <w:r>
        <w:rPr>
          <w:rFonts w:cs="Times New Roman"/>
          <w:color w:val="auto"/>
          <w:sz w:val="22"/>
          <w:szCs w:val="22"/>
        </w:rPr>
        <w:t>N° Cuotas</w:t>
      </w:r>
      <w:r>
        <w:rPr>
          <w:rFonts w:cs="Times New Roman"/>
          <w:color w:val="auto"/>
          <w:sz w:val="22"/>
          <w:szCs w:val="22"/>
        </w:rPr>
        <w:tab/>
      </w:r>
      <w:r w:rsidR="002B474C">
        <w:rPr>
          <w:rFonts w:cs="Times New Roman"/>
          <w:color w:val="auto"/>
          <w:sz w:val="22"/>
          <w:szCs w:val="22"/>
        </w:rPr>
        <w:tab/>
      </w:r>
      <w:r w:rsidR="002B474C">
        <w:rPr>
          <w:rFonts w:cs="Times New Roman"/>
          <w:color w:val="auto"/>
          <w:sz w:val="22"/>
          <w:szCs w:val="22"/>
        </w:rPr>
        <w:tab/>
      </w:r>
      <w:r w:rsidR="002B474C">
        <w:rPr>
          <w:rFonts w:cs="Times New Roman"/>
          <w:color w:val="auto"/>
          <w:sz w:val="22"/>
          <w:szCs w:val="22"/>
        </w:rPr>
        <w:tab/>
      </w:r>
      <w:r w:rsidR="002B474C">
        <w:rPr>
          <w:rFonts w:cs="Times New Roman"/>
          <w:color w:val="auto"/>
          <w:sz w:val="22"/>
          <w:szCs w:val="22"/>
        </w:rPr>
        <w:tab/>
        <w:t>: 10</w:t>
      </w:r>
      <w:r>
        <w:rPr>
          <w:rFonts w:cs="Times New Roman"/>
          <w:color w:val="auto"/>
          <w:sz w:val="22"/>
          <w:szCs w:val="22"/>
        </w:rPr>
        <w:t xml:space="preserve"> cuotas anuales</w:t>
      </w:r>
    </w:p>
    <w:p w:rsidR="00884770" w:rsidRDefault="00884770" w:rsidP="00884770">
      <w:pPr>
        <w:rPr>
          <w:rFonts w:cs="Times New Roman"/>
          <w:color w:val="auto"/>
          <w:sz w:val="22"/>
          <w:szCs w:val="22"/>
        </w:rPr>
      </w:pPr>
      <w:r>
        <w:rPr>
          <w:rFonts w:cs="Times New Roman"/>
          <w:color w:val="auto"/>
          <w:sz w:val="22"/>
          <w:szCs w:val="22"/>
        </w:rPr>
        <w:t>Cuota anual</w:t>
      </w:r>
      <w:r>
        <w:rPr>
          <w:rFonts w:cs="Times New Roman"/>
          <w:color w:val="auto"/>
          <w:sz w:val="22"/>
          <w:szCs w:val="22"/>
        </w:rPr>
        <w:tab/>
      </w:r>
      <w:r w:rsidR="002B474C">
        <w:rPr>
          <w:rFonts w:cs="Times New Roman"/>
          <w:color w:val="auto"/>
          <w:sz w:val="22"/>
          <w:szCs w:val="22"/>
        </w:rPr>
        <w:tab/>
      </w:r>
      <w:r w:rsidR="002B474C">
        <w:rPr>
          <w:rFonts w:cs="Times New Roman"/>
          <w:color w:val="auto"/>
          <w:sz w:val="22"/>
          <w:szCs w:val="22"/>
        </w:rPr>
        <w:tab/>
      </w:r>
      <w:r w:rsidR="002B474C">
        <w:rPr>
          <w:rFonts w:cs="Times New Roman"/>
          <w:color w:val="auto"/>
          <w:sz w:val="22"/>
          <w:szCs w:val="22"/>
        </w:rPr>
        <w:tab/>
      </w:r>
      <w:r w:rsidR="002B474C">
        <w:rPr>
          <w:rFonts w:cs="Times New Roman"/>
          <w:color w:val="auto"/>
          <w:sz w:val="22"/>
          <w:szCs w:val="22"/>
        </w:rPr>
        <w:tab/>
      </w:r>
      <w:r>
        <w:rPr>
          <w:rFonts w:cs="Times New Roman"/>
          <w:color w:val="auto"/>
          <w:sz w:val="22"/>
          <w:szCs w:val="22"/>
        </w:rPr>
        <w:t xml:space="preserve">: </w:t>
      </w:r>
      <w:r w:rsidR="00056485">
        <w:rPr>
          <w:rFonts w:cs="Times New Roman"/>
          <w:color w:val="auto"/>
          <w:sz w:val="22"/>
          <w:szCs w:val="22"/>
        </w:rPr>
        <w:t>45</w:t>
      </w:r>
      <w:r w:rsidR="002B474C">
        <w:rPr>
          <w:rFonts w:cs="Times New Roman"/>
          <w:color w:val="auto"/>
          <w:sz w:val="22"/>
          <w:szCs w:val="22"/>
        </w:rPr>
        <w:t>.000.000</w:t>
      </w:r>
    </w:p>
    <w:p w:rsidR="00884770" w:rsidRDefault="00884770" w:rsidP="00884770">
      <w:pPr>
        <w:rPr>
          <w:rFonts w:cs="Times New Roman"/>
          <w:color w:val="auto"/>
          <w:sz w:val="22"/>
          <w:szCs w:val="22"/>
        </w:rPr>
      </w:pPr>
    </w:p>
    <w:p w:rsidR="00884770" w:rsidRPr="008F0FC9" w:rsidRDefault="00884770" w:rsidP="00884770">
      <w:pPr>
        <w:rPr>
          <w:rFonts w:cs="Times New Roman"/>
          <w:color w:val="auto"/>
          <w:sz w:val="22"/>
          <w:szCs w:val="22"/>
          <w:u w:val="single"/>
        </w:rPr>
      </w:pPr>
      <w:r w:rsidRPr="008F0FC9">
        <w:rPr>
          <w:rFonts w:cs="Times New Roman"/>
          <w:color w:val="auto"/>
          <w:sz w:val="22"/>
          <w:szCs w:val="22"/>
          <w:u w:val="single"/>
        </w:rPr>
        <w:t>Edificio:</w:t>
      </w:r>
    </w:p>
    <w:p w:rsidR="00884770" w:rsidRDefault="00884770" w:rsidP="00884770">
      <w:pPr>
        <w:rPr>
          <w:rFonts w:cs="Times New Roman"/>
          <w:color w:val="auto"/>
          <w:sz w:val="22"/>
          <w:szCs w:val="22"/>
        </w:rPr>
      </w:pPr>
    </w:p>
    <w:p w:rsidR="00884770" w:rsidRDefault="00884770" w:rsidP="00884770">
      <w:pPr>
        <w:rPr>
          <w:rFonts w:cs="Times New Roman"/>
          <w:color w:val="auto"/>
          <w:sz w:val="22"/>
          <w:szCs w:val="22"/>
        </w:rPr>
      </w:pPr>
      <w:r>
        <w:rPr>
          <w:rFonts w:cs="Times New Roman"/>
          <w:color w:val="auto"/>
          <w:sz w:val="22"/>
          <w:szCs w:val="22"/>
        </w:rPr>
        <w:t>Tasa</w:t>
      </w:r>
      <w:r>
        <w:rPr>
          <w:rFonts w:cs="Times New Roman"/>
          <w:color w:val="auto"/>
          <w:sz w:val="22"/>
          <w:szCs w:val="22"/>
        </w:rPr>
        <w:tab/>
      </w:r>
      <w:r>
        <w:rPr>
          <w:rFonts w:cs="Times New Roman"/>
          <w:color w:val="auto"/>
          <w:sz w:val="22"/>
          <w:szCs w:val="22"/>
        </w:rPr>
        <w:tab/>
        <w:t>: 0,39% mensual</w:t>
      </w:r>
    </w:p>
    <w:p w:rsidR="00884770" w:rsidRDefault="002B474C" w:rsidP="00884770">
      <w:pPr>
        <w:rPr>
          <w:rFonts w:cs="Times New Roman"/>
          <w:color w:val="auto"/>
          <w:sz w:val="22"/>
          <w:szCs w:val="22"/>
        </w:rPr>
      </w:pPr>
      <w:r>
        <w:rPr>
          <w:rFonts w:cs="Times New Roman"/>
          <w:color w:val="auto"/>
          <w:sz w:val="22"/>
          <w:szCs w:val="22"/>
        </w:rPr>
        <w:t>N° Cuotas</w:t>
      </w:r>
      <w:r>
        <w:rPr>
          <w:rFonts w:cs="Times New Roman"/>
          <w:color w:val="auto"/>
          <w:sz w:val="22"/>
          <w:szCs w:val="22"/>
        </w:rPr>
        <w:tab/>
        <w:t>: 48</w:t>
      </w:r>
      <w:r w:rsidR="00884770">
        <w:rPr>
          <w:rFonts w:cs="Times New Roman"/>
          <w:color w:val="auto"/>
          <w:sz w:val="22"/>
          <w:szCs w:val="22"/>
        </w:rPr>
        <w:t xml:space="preserve"> cuotas mensuales</w:t>
      </w:r>
    </w:p>
    <w:p w:rsidR="00884770" w:rsidRDefault="002B474C" w:rsidP="00884770">
      <w:pPr>
        <w:rPr>
          <w:rFonts w:cs="Times New Roman"/>
          <w:color w:val="auto"/>
          <w:sz w:val="22"/>
          <w:szCs w:val="22"/>
        </w:rPr>
      </w:pPr>
      <w:r>
        <w:rPr>
          <w:rFonts w:cs="Times New Roman"/>
          <w:color w:val="auto"/>
          <w:sz w:val="22"/>
          <w:szCs w:val="22"/>
        </w:rPr>
        <w:t>Cuota mensual</w:t>
      </w:r>
      <w:r>
        <w:rPr>
          <w:rFonts w:cs="Times New Roman"/>
          <w:color w:val="auto"/>
          <w:sz w:val="22"/>
          <w:szCs w:val="22"/>
        </w:rPr>
        <w:tab/>
        <w:t>: 4.000.000</w:t>
      </w:r>
    </w:p>
    <w:p w:rsidR="00884770" w:rsidRDefault="00884770" w:rsidP="00884770">
      <w:pPr>
        <w:rPr>
          <w:rFonts w:cs="Times New Roman"/>
          <w:color w:val="auto"/>
          <w:sz w:val="22"/>
          <w:szCs w:val="22"/>
        </w:rPr>
      </w:pPr>
    </w:p>
    <w:p w:rsidR="00884770" w:rsidRPr="00EE0BBE" w:rsidRDefault="00884770" w:rsidP="00884770">
      <w:pPr>
        <w:pStyle w:val="ListParagraph"/>
        <w:ind w:left="720"/>
        <w:rPr>
          <w:rFonts w:cs="Times New Roman"/>
          <w:color w:val="auto"/>
          <w:sz w:val="22"/>
          <w:szCs w:val="22"/>
        </w:rPr>
      </w:pPr>
    </w:p>
    <w:p w:rsidR="00884770" w:rsidRDefault="002B474C" w:rsidP="00884770">
      <w:pPr>
        <w:rPr>
          <w:rFonts w:cs="Times New Roman"/>
          <w:color w:val="auto"/>
          <w:sz w:val="22"/>
          <w:szCs w:val="22"/>
        </w:rPr>
      </w:pPr>
      <w:r>
        <w:rPr>
          <w:rFonts w:cs="Times New Roman"/>
          <w:color w:val="auto"/>
          <w:sz w:val="22"/>
          <w:szCs w:val="22"/>
        </w:rPr>
        <w:t xml:space="preserve">Al término de la cuota 48 </w:t>
      </w:r>
      <w:r w:rsidR="00884770">
        <w:rPr>
          <w:rFonts w:cs="Times New Roman"/>
          <w:color w:val="auto"/>
          <w:sz w:val="22"/>
          <w:szCs w:val="22"/>
        </w:rPr>
        <w:t>del edificio, Compañía ABC se queda con la propiedad del edificio.</w:t>
      </w:r>
    </w:p>
    <w:p w:rsidR="00884770" w:rsidRDefault="00884770" w:rsidP="00884770">
      <w:pPr>
        <w:rPr>
          <w:rFonts w:cs="Times New Roman"/>
          <w:color w:val="auto"/>
          <w:sz w:val="22"/>
          <w:szCs w:val="22"/>
        </w:rPr>
      </w:pPr>
    </w:p>
    <w:p w:rsidR="00884770" w:rsidRDefault="00884770" w:rsidP="00884770">
      <w:pPr>
        <w:rPr>
          <w:rFonts w:cs="Times New Roman"/>
          <w:color w:val="auto"/>
          <w:sz w:val="22"/>
          <w:szCs w:val="22"/>
        </w:rPr>
      </w:pPr>
      <w:r>
        <w:rPr>
          <w:rFonts w:cs="Times New Roman"/>
          <w:color w:val="auto"/>
          <w:sz w:val="22"/>
          <w:szCs w:val="22"/>
        </w:rPr>
        <w:t>Información adicional:</w:t>
      </w:r>
    </w:p>
    <w:p w:rsidR="00884770" w:rsidRDefault="00884770" w:rsidP="00884770">
      <w:pPr>
        <w:rPr>
          <w:rFonts w:cs="Times New Roman"/>
          <w:color w:val="auto"/>
          <w:sz w:val="22"/>
          <w:szCs w:val="22"/>
        </w:rPr>
      </w:pPr>
    </w:p>
    <w:p w:rsidR="00884770" w:rsidRDefault="00884770" w:rsidP="00884770">
      <w:pPr>
        <w:rPr>
          <w:rFonts w:cs="Times New Roman"/>
          <w:color w:val="auto"/>
          <w:sz w:val="22"/>
          <w:szCs w:val="22"/>
        </w:rPr>
      </w:pPr>
      <w:r>
        <w:rPr>
          <w:rFonts w:cs="Times New Roman"/>
          <w:color w:val="auto"/>
          <w:sz w:val="22"/>
          <w:szCs w:val="22"/>
        </w:rPr>
        <w:t>Vida útil del edificio: 15 años</w:t>
      </w:r>
    </w:p>
    <w:p w:rsidR="00884770" w:rsidRDefault="00884770" w:rsidP="00884770">
      <w:pPr>
        <w:rPr>
          <w:rFonts w:cs="Times New Roman"/>
          <w:color w:val="auto"/>
          <w:sz w:val="22"/>
          <w:szCs w:val="22"/>
        </w:rPr>
      </w:pPr>
      <w:r>
        <w:rPr>
          <w:rFonts w:cs="Times New Roman"/>
          <w:color w:val="auto"/>
          <w:sz w:val="22"/>
          <w:szCs w:val="22"/>
        </w:rPr>
        <w:t>Valor residual edificio: $0</w:t>
      </w:r>
    </w:p>
    <w:p w:rsidR="00884770" w:rsidRDefault="00884770" w:rsidP="00884770">
      <w:pPr>
        <w:rPr>
          <w:rFonts w:cs="Times New Roman"/>
          <w:color w:val="auto"/>
          <w:sz w:val="22"/>
          <w:szCs w:val="22"/>
        </w:rPr>
      </w:pPr>
    </w:p>
    <w:p w:rsidR="00884770" w:rsidRDefault="00884770" w:rsidP="00884770">
      <w:pPr>
        <w:rPr>
          <w:rFonts w:cs="Times New Roman"/>
          <w:color w:val="auto"/>
          <w:sz w:val="22"/>
          <w:szCs w:val="22"/>
        </w:rPr>
      </w:pPr>
      <w:r>
        <w:rPr>
          <w:rFonts w:cs="Times New Roman"/>
          <w:color w:val="auto"/>
          <w:sz w:val="22"/>
          <w:szCs w:val="22"/>
        </w:rPr>
        <w:t>Como política general la compañía utiliza el método del costo para edificios y valor de mercado para terrenos. El valor de mercado del terreno al 3</w:t>
      </w:r>
      <w:r w:rsidR="00056485">
        <w:rPr>
          <w:rFonts w:cs="Times New Roman"/>
          <w:color w:val="auto"/>
          <w:sz w:val="22"/>
          <w:szCs w:val="22"/>
        </w:rPr>
        <w:t>1 de diciembre de 2015 es de $700.000.000</w:t>
      </w:r>
      <w:r>
        <w:rPr>
          <w:rFonts w:cs="Times New Roman"/>
          <w:color w:val="auto"/>
          <w:sz w:val="22"/>
          <w:szCs w:val="22"/>
        </w:rPr>
        <w:t>.</w:t>
      </w:r>
    </w:p>
    <w:p w:rsidR="00884770" w:rsidRDefault="00884770" w:rsidP="00884770">
      <w:pPr>
        <w:rPr>
          <w:rFonts w:cs="Times New Roman"/>
          <w:color w:val="auto"/>
          <w:sz w:val="22"/>
          <w:szCs w:val="22"/>
        </w:rPr>
      </w:pPr>
    </w:p>
    <w:p w:rsidR="00884770" w:rsidRDefault="00884770" w:rsidP="00884770">
      <w:pPr>
        <w:rPr>
          <w:rFonts w:cs="Times New Roman"/>
          <w:color w:val="auto"/>
          <w:sz w:val="22"/>
          <w:szCs w:val="22"/>
        </w:rPr>
      </w:pPr>
    </w:p>
    <w:p w:rsidR="00884770" w:rsidRDefault="00884770" w:rsidP="00884770">
      <w:pPr>
        <w:pStyle w:val="ListParagraph"/>
        <w:numPr>
          <w:ilvl w:val="0"/>
          <w:numId w:val="1"/>
        </w:numPr>
        <w:rPr>
          <w:rFonts w:cs="Times New Roman"/>
          <w:color w:val="auto"/>
          <w:sz w:val="22"/>
          <w:szCs w:val="22"/>
        </w:rPr>
      </w:pPr>
      <w:r>
        <w:rPr>
          <w:rFonts w:cs="Times New Roman"/>
          <w:color w:val="auto"/>
          <w:sz w:val="22"/>
          <w:szCs w:val="22"/>
        </w:rPr>
        <w:t xml:space="preserve">Determinar cuál es el registro inicial de </w:t>
      </w:r>
      <w:r w:rsidR="00056485">
        <w:rPr>
          <w:rFonts w:cs="Times New Roman"/>
          <w:color w:val="auto"/>
          <w:sz w:val="22"/>
          <w:szCs w:val="22"/>
        </w:rPr>
        <w:t>estos contratos.</w:t>
      </w:r>
    </w:p>
    <w:p w:rsidR="00884770" w:rsidRDefault="00884770" w:rsidP="00884770">
      <w:pPr>
        <w:pStyle w:val="ListParagraph"/>
        <w:ind w:left="720"/>
        <w:rPr>
          <w:rFonts w:cs="Times New Roman"/>
          <w:color w:val="auto"/>
          <w:sz w:val="22"/>
          <w:szCs w:val="22"/>
        </w:rPr>
      </w:pPr>
    </w:p>
    <w:p w:rsidR="00884770" w:rsidRDefault="00884770" w:rsidP="00884770">
      <w:pPr>
        <w:pStyle w:val="ListParagraph"/>
        <w:numPr>
          <w:ilvl w:val="0"/>
          <w:numId w:val="1"/>
        </w:numPr>
      </w:pPr>
      <w:r w:rsidRPr="00C528A6">
        <w:rPr>
          <w:rFonts w:cs="Times New Roman"/>
          <w:color w:val="auto"/>
          <w:sz w:val="22"/>
          <w:szCs w:val="22"/>
        </w:rPr>
        <w:t>Determinar el saldo en balance y resultado de esta operación una vez transcurrido un año</w:t>
      </w:r>
      <w:r>
        <w:rPr>
          <w:rFonts w:cs="Times New Roman"/>
          <w:color w:val="auto"/>
          <w:sz w:val="22"/>
          <w:szCs w:val="22"/>
        </w:rPr>
        <w:t>, es decir, al 31de diciembre de 2015</w:t>
      </w:r>
      <w:r w:rsidRPr="00C528A6">
        <w:rPr>
          <w:rFonts w:cs="Times New Roman"/>
          <w:color w:val="auto"/>
          <w:sz w:val="22"/>
          <w:szCs w:val="22"/>
        </w:rPr>
        <w:t xml:space="preserve">. </w:t>
      </w:r>
    </w:p>
    <w:p w:rsidR="00111033" w:rsidRDefault="00111033"/>
    <w:p w:rsidR="00CE0557" w:rsidRPr="00CE0557" w:rsidRDefault="00CE0557">
      <w:pPr>
        <w:rPr>
          <w:b/>
        </w:rPr>
      </w:pPr>
    </w:p>
    <w:p w:rsidR="00CE0557" w:rsidRDefault="00CE0557">
      <w:pPr>
        <w:rPr>
          <w:b/>
        </w:rPr>
      </w:pPr>
      <w:r w:rsidRPr="00CE0557">
        <w:rPr>
          <w:b/>
        </w:rPr>
        <w:t>Ejercicio adicional</w:t>
      </w:r>
    </w:p>
    <w:p w:rsidR="00CE0557" w:rsidRDefault="00CE0557">
      <w:pPr>
        <w:rPr>
          <w:b/>
        </w:rPr>
      </w:pPr>
    </w:p>
    <w:p w:rsidR="00CE0557" w:rsidRDefault="00CE0557" w:rsidP="00CE0557">
      <w:pPr>
        <w:pStyle w:val="ListParagraph"/>
        <w:numPr>
          <w:ilvl w:val="0"/>
          <w:numId w:val="2"/>
        </w:numPr>
      </w:pPr>
      <w:r>
        <w:rPr>
          <w:rFonts w:cs="Times New Roman"/>
          <w:color w:val="auto"/>
          <w:sz w:val="22"/>
          <w:szCs w:val="22"/>
        </w:rPr>
        <w:t>Realice el registro contable desde el punt</w:t>
      </w:r>
      <w:bookmarkStart w:id="0" w:name="_GoBack"/>
      <w:bookmarkEnd w:id="0"/>
      <w:r>
        <w:rPr>
          <w:rFonts w:cs="Times New Roman"/>
          <w:color w:val="auto"/>
          <w:sz w:val="22"/>
          <w:szCs w:val="22"/>
        </w:rPr>
        <w:t>o de vista del arrendador.</w:t>
      </w:r>
    </w:p>
    <w:p w:rsidR="00CE0557" w:rsidRPr="00CE0557" w:rsidRDefault="00CE0557"/>
    <w:p w:rsidR="00CE0557" w:rsidRDefault="00CE0557"/>
    <w:p w:rsidR="00576743" w:rsidRPr="003D3929" w:rsidRDefault="00576743" w:rsidP="00576743">
      <w:pPr>
        <w:rPr>
          <w:rFonts w:cs="Times New Roman"/>
          <w:b/>
          <w:color w:val="auto"/>
          <w:sz w:val="22"/>
          <w:szCs w:val="22"/>
          <w:u w:val="single"/>
        </w:rPr>
      </w:pPr>
      <w:proofErr w:type="gramStart"/>
      <w:r>
        <w:rPr>
          <w:rFonts w:cs="Times New Roman"/>
          <w:b/>
          <w:color w:val="auto"/>
          <w:sz w:val="22"/>
          <w:szCs w:val="22"/>
          <w:u w:val="single"/>
        </w:rPr>
        <w:t>Ejercicio</w:t>
      </w:r>
      <w:r w:rsidRPr="00AC5B41">
        <w:rPr>
          <w:rFonts w:cs="Times New Roman"/>
          <w:b/>
          <w:color w:val="auto"/>
          <w:sz w:val="22"/>
          <w:szCs w:val="22"/>
          <w:u w:val="single"/>
        </w:rPr>
        <w:t xml:space="preserve"> </w:t>
      </w:r>
      <w:r>
        <w:rPr>
          <w:rFonts w:cs="Times New Roman"/>
          <w:b/>
          <w:color w:val="auto"/>
          <w:sz w:val="22"/>
          <w:szCs w:val="22"/>
          <w:u w:val="single"/>
        </w:rPr>
        <w:t>Intangibles</w:t>
      </w:r>
      <w:proofErr w:type="gramEnd"/>
      <w:r>
        <w:rPr>
          <w:rFonts w:cs="Times New Roman"/>
          <w:b/>
          <w:color w:val="auto"/>
          <w:sz w:val="22"/>
          <w:szCs w:val="22"/>
        </w:rPr>
        <w:tab/>
      </w:r>
    </w:p>
    <w:p w:rsidR="00576743" w:rsidRDefault="00576743" w:rsidP="00576743">
      <w:pPr>
        <w:rPr>
          <w:rFonts w:cs="Times New Roman"/>
          <w:b/>
          <w:color w:val="auto"/>
          <w:sz w:val="22"/>
          <w:szCs w:val="22"/>
        </w:rPr>
      </w:pPr>
    </w:p>
    <w:p w:rsidR="00C77250" w:rsidRDefault="00576743" w:rsidP="00576743">
      <w:pPr>
        <w:rPr>
          <w:rFonts w:cs="Times New Roman"/>
          <w:color w:val="auto"/>
          <w:sz w:val="22"/>
          <w:szCs w:val="22"/>
        </w:rPr>
      </w:pPr>
      <w:r>
        <w:rPr>
          <w:rFonts w:cs="Times New Roman"/>
          <w:color w:val="auto"/>
          <w:sz w:val="22"/>
          <w:szCs w:val="22"/>
        </w:rPr>
        <w:t>Laboratorios LMV tiene como proyecto la creación de un medicamento</w:t>
      </w:r>
      <w:r w:rsidR="00C276DB">
        <w:rPr>
          <w:rFonts w:cs="Times New Roman"/>
          <w:color w:val="auto"/>
          <w:sz w:val="22"/>
          <w:szCs w:val="22"/>
        </w:rPr>
        <w:t xml:space="preserve"> contra la </w:t>
      </w:r>
      <w:proofErr w:type="spellStart"/>
      <w:r w:rsidR="00C276DB">
        <w:rPr>
          <w:rFonts w:cs="Times New Roman"/>
          <w:color w:val="auto"/>
          <w:sz w:val="22"/>
          <w:szCs w:val="22"/>
        </w:rPr>
        <w:t>oniomanía</w:t>
      </w:r>
      <w:proofErr w:type="spellEnd"/>
      <w:r w:rsidR="00C276DB">
        <w:rPr>
          <w:rFonts w:cs="Times New Roman"/>
          <w:color w:val="auto"/>
          <w:sz w:val="22"/>
          <w:szCs w:val="22"/>
        </w:rPr>
        <w:t xml:space="preserve"> (compra compulsiva) enfermedad </w:t>
      </w:r>
      <w:r w:rsidR="00C77250">
        <w:rPr>
          <w:rFonts w:cs="Times New Roman"/>
          <w:color w:val="auto"/>
          <w:sz w:val="22"/>
          <w:szCs w:val="22"/>
        </w:rPr>
        <w:t>que presenta un sector de la población. Se espera que este medicamento, de tener resultado, tenga un crecimiento exponencial los próximos años.</w:t>
      </w:r>
    </w:p>
    <w:p w:rsidR="00C276DB" w:rsidRDefault="00C276DB" w:rsidP="00576743">
      <w:pPr>
        <w:rPr>
          <w:rFonts w:cs="Times New Roman"/>
          <w:color w:val="auto"/>
          <w:sz w:val="22"/>
          <w:szCs w:val="22"/>
        </w:rPr>
      </w:pPr>
    </w:p>
    <w:p w:rsidR="00C77250" w:rsidRDefault="00C77250" w:rsidP="00576743">
      <w:pPr>
        <w:rPr>
          <w:rFonts w:cs="Times New Roman"/>
          <w:color w:val="auto"/>
          <w:sz w:val="22"/>
          <w:szCs w:val="22"/>
        </w:rPr>
      </w:pPr>
      <w:r>
        <w:rPr>
          <w:rFonts w:cs="Times New Roman"/>
          <w:color w:val="auto"/>
          <w:sz w:val="22"/>
          <w:szCs w:val="22"/>
        </w:rPr>
        <w:t>Para tales efectos, ha contratado psicólogos, psiquiatras, médicos y bioquímicos. Los honorarios que cancela a estos investigadores ascienden a $79.000.000 mensuales.</w:t>
      </w:r>
    </w:p>
    <w:p w:rsidR="00C276DB" w:rsidRDefault="00C276DB" w:rsidP="00576743">
      <w:pPr>
        <w:rPr>
          <w:rFonts w:cs="Times New Roman"/>
          <w:color w:val="auto"/>
          <w:sz w:val="22"/>
          <w:szCs w:val="22"/>
        </w:rPr>
      </w:pPr>
    </w:p>
    <w:p w:rsidR="00576743" w:rsidRDefault="00C77250" w:rsidP="00576743">
      <w:pPr>
        <w:rPr>
          <w:rFonts w:cs="Times New Roman"/>
          <w:color w:val="auto"/>
          <w:sz w:val="22"/>
          <w:szCs w:val="22"/>
        </w:rPr>
      </w:pPr>
      <w:r>
        <w:rPr>
          <w:rFonts w:cs="Times New Roman"/>
          <w:color w:val="auto"/>
          <w:sz w:val="22"/>
          <w:szCs w:val="22"/>
        </w:rPr>
        <w:t xml:space="preserve">Por otra parte, como se trata de una investigación secreta, Laboratorios LMV ha decidido subarrendar un laboratorio de la Universidad Católica, el arriendo tiene un valor de $ 15.000.000 mensuales. </w:t>
      </w:r>
    </w:p>
    <w:p w:rsidR="00C276DB" w:rsidRDefault="00C276DB" w:rsidP="00576743">
      <w:pPr>
        <w:rPr>
          <w:rFonts w:cs="Times New Roman"/>
          <w:color w:val="auto"/>
          <w:sz w:val="22"/>
          <w:szCs w:val="22"/>
        </w:rPr>
      </w:pPr>
    </w:p>
    <w:p w:rsidR="00C77250" w:rsidRDefault="00C77250" w:rsidP="00576743">
      <w:pPr>
        <w:rPr>
          <w:rFonts w:cs="Times New Roman"/>
          <w:color w:val="auto"/>
          <w:sz w:val="22"/>
          <w:szCs w:val="22"/>
        </w:rPr>
      </w:pPr>
      <w:r>
        <w:rPr>
          <w:rFonts w:cs="Times New Roman"/>
          <w:color w:val="auto"/>
          <w:sz w:val="22"/>
          <w:szCs w:val="22"/>
        </w:rPr>
        <w:t>Laboratorios LMV ha establecido una carta Gantt para ir controlando el proyecto. Dentro de la carta, el grupo de investigadores deberá informar trimestralmente al Directorio de la compañía el avance d</w:t>
      </w:r>
      <w:r w:rsidR="00C276DB">
        <w:rPr>
          <w:rFonts w:cs="Times New Roman"/>
          <w:color w:val="auto"/>
          <w:sz w:val="22"/>
          <w:szCs w:val="22"/>
        </w:rPr>
        <w:t>el proyecto.</w:t>
      </w:r>
      <w:r>
        <w:rPr>
          <w:rFonts w:cs="Times New Roman"/>
          <w:color w:val="auto"/>
          <w:sz w:val="22"/>
          <w:szCs w:val="22"/>
        </w:rPr>
        <w:t xml:space="preserve"> </w:t>
      </w:r>
    </w:p>
    <w:p w:rsidR="00C77250" w:rsidRDefault="00C77250" w:rsidP="00576743">
      <w:pPr>
        <w:rPr>
          <w:rFonts w:cs="Times New Roman"/>
          <w:color w:val="auto"/>
          <w:sz w:val="22"/>
          <w:szCs w:val="22"/>
        </w:rPr>
      </w:pPr>
    </w:p>
    <w:p w:rsidR="00C77250" w:rsidRDefault="00C77250" w:rsidP="00576743">
      <w:pPr>
        <w:rPr>
          <w:rFonts w:cs="Times New Roman"/>
          <w:color w:val="auto"/>
          <w:sz w:val="22"/>
          <w:szCs w:val="22"/>
        </w:rPr>
      </w:pPr>
      <w:r>
        <w:rPr>
          <w:rFonts w:cs="Times New Roman"/>
          <w:color w:val="auto"/>
          <w:sz w:val="22"/>
          <w:szCs w:val="22"/>
        </w:rPr>
        <w:t xml:space="preserve">El proyecto parte en julio de 2016. Al 30 de septiembre </w:t>
      </w:r>
      <w:r w:rsidR="00C276DB">
        <w:rPr>
          <w:rFonts w:cs="Times New Roman"/>
          <w:color w:val="auto"/>
          <w:sz w:val="22"/>
          <w:szCs w:val="22"/>
        </w:rPr>
        <w:t xml:space="preserve">el grupo de científicos se presenta ante el Directorio e informan </w:t>
      </w:r>
      <w:r>
        <w:rPr>
          <w:rFonts w:cs="Times New Roman"/>
          <w:color w:val="auto"/>
          <w:sz w:val="22"/>
          <w:szCs w:val="22"/>
        </w:rPr>
        <w:t xml:space="preserve">que </w:t>
      </w:r>
      <w:r w:rsidR="00C276DB">
        <w:rPr>
          <w:rFonts w:cs="Times New Roman"/>
          <w:color w:val="auto"/>
          <w:sz w:val="22"/>
          <w:szCs w:val="22"/>
        </w:rPr>
        <w:t xml:space="preserve">a la fecha el proyecto avanza de acuerdo a lo planificado, y que el estudio de las causas de la </w:t>
      </w:r>
      <w:proofErr w:type="spellStart"/>
      <w:r w:rsidR="00C276DB">
        <w:rPr>
          <w:rFonts w:cs="Times New Roman"/>
          <w:color w:val="auto"/>
          <w:sz w:val="22"/>
          <w:szCs w:val="22"/>
        </w:rPr>
        <w:t>oniomanía</w:t>
      </w:r>
      <w:proofErr w:type="spellEnd"/>
      <w:r w:rsidR="00C276DB">
        <w:rPr>
          <w:rFonts w:cs="Times New Roman"/>
          <w:color w:val="auto"/>
          <w:sz w:val="22"/>
          <w:szCs w:val="22"/>
        </w:rPr>
        <w:t xml:space="preserve"> al parecer tendría su origen en el hipotálamo. </w:t>
      </w:r>
    </w:p>
    <w:p w:rsidR="00C276DB" w:rsidRDefault="00C276DB" w:rsidP="00576743">
      <w:pPr>
        <w:rPr>
          <w:rFonts w:cs="Times New Roman"/>
          <w:color w:val="auto"/>
          <w:sz w:val="22"/>
          <w:szCs w:val="22"/>
        </w:rPr>
      </w:pPr>
    </w:p>
    <w:p w:rsidR="00C276DB" w:rsidRDefault="00C276DB" w:rsidP="00576743">
      <w:pPr>
        <w:rPr>
          <w:rFonts w:cs="Times New Roman"/>
          <w:color w:val="auto"/>
          <w:sz w:val="22"/>
          <w:szCs w:val="22"/>
        </w:rPr>
      </w:pPr>
      <w:r>
        <w:rPr>
          <w:rFonts w:cs="Times New Roman"/>
          <w:color w:val="auto"/>
          <w:sz w:val="22"/>
          <w:szCs w:val="22"/>
        </w:rPr>
        <w:t>En el Directorio de enero</w:t>
      </w:r>
      <w:r w:rsidR="00E414AC">
        <w:rPr>
          <w:rFonts w:cs="Times New Roman"/>
          <w:color w:val="auto"/>
          <w:sz w:val="22"/>
          <w:szCs w:val="22"/>
        </w:rPr>
        <w:t xml:space="preserve"> 2017</w:t>
      </w:r>
      <w:r>
        <w:rPr>
          <w:rFonts w:cs="Times New Roman"/>
          <w:color w:val="auto"/>
          <w:sz w:val="22"/>
          <w:szCs w:val="22"/>
        </w:rPr>
        <w:t>, donde se revisan distintos aspectos del cuarto trimestre y el cierre anual, los investigadores informan que efectivamente el problema de la enfermedad viene por una atrofia del hipotálamo</w:t>
      </w:r>
      <w:r w:rsidR="00E414AC">
        <w:rPr>
          <w:rFonts w:cs="Times New Roman"/>
          <w:color w:val="auto"/>
          <w:sz w:val="22"/>
          <w:szCs w:val="22"/>
        </w:rPr>
        <w:t xml:space="preserve"> y que está en prueba un componente que podría atacar esta enfermedad. Los resultados de dichas pruebas son muy preliminares.</w:t>
      </w:r>
    </w:p>
    <w:p w:rsidR="00E414AC" w:rsidRDefault="00E414AC" w:rsidP="00576743">
      <w:pPr>
        <w:rPr>
          <w:rFonts w:cs="Times New Roman"/>
          <w:color w:val="auto"/>
          <w:sz w:val="22"/>
          <w:szCs w:val="22"/>
        </w:rPr>
      </w:pPr>
    </w:p>
    <w:p w:rsidR="00E414AC" w:rsidRDefault="00E414AC" w:rsidP="00576743">
      <w:pPr>
        <w:rPr>
          <w:rFonts w:cs="Times New Roman"/>
          <w:color w:val="auto"/>
          <w:sz w:val="22"/>
          <w:szCs w:val="22"/>
        </w:rPr>
      </w:pPr>
      <w:r>
        <w:rPr>
          <w:rFonts w:cs="Times New Roman"/>
          <w:color w:val="auto"/>
          <w:sz w:val="22"/>
          <w:szCs w:val="22"/>
        </w:rPr>
        <w:t>En el Directorio de julio 2017 se informa que el medicamento ha tenido buenos resultados en los pacientes tratados por lo tanto serán presentado todos los antecedentes al ministerio de salud para iniciar el proceso de inscripción.</w:t>
      </w:r>
      <w:r w:rsidR="004166EF">
        <w:rPr>
          <w:rFonts w:cs="Times New Roman"/>
          <w:color w:val="auto"/>
          <w:sz w:val="22"/>
          <w:szCs w:val="22"/>
        </w:rPr>
        <w:t xml:space="preserve"> En esa misma reunión el CFO del laboratorio informa de los potenciales precios de comercialización del producto y los costos asociados, todo lo cual arroja un VAN positivo relevante</w:t>
      </w:r>
      <w:r>
        <w:rPr>
          <w:rFonts w:cs="Times New Roman"/>
          <w:color w:val="auto"/>
          <w:sz w:val="22"/>
          <w:szCs w:val="22"/>
        </w:rPr>
        <w:t xml:space="preserve"> En forma paralela el equipo de investigadores seguirá mejorando algunos efectos secundarios que produce el medicamento, como lo es el incremento de peso de los pacientes producto del cambio de las compras por la comida. Para esto se contratan nutricionistas de apoyo en el estudio cuyos honorarios ascienden a $20.000.000 mensuales e iniciarán el trabajo en agosto.</w:t>
      </w:r>
    </w:p>
    <w:p w:rsidR="00E414AC" w:rsidRDefault="00E414AC" w:rsidP="00576743">
      <w:pPr>
        <w:rPr>
          <w:rFonts w:cs="Times New Roman"/>
          <w:color w:val="auto"/>
          <w:sz w:val="22"/>
          <w:szCs w:val="22"/>
        </w:rPr>
      </w:pPr>
    </w:p>
    <w:p w:rsidR="004166EF" w:rsidRDefault="00E414AC" w:rsidP="00576743">
      <w:pPr>
        <w:rPr>
          <w:rFonts w:cs="Times New Roman"/>
          <w:color w:val="auto"/>
          <w:sz w:val="22"/>
          <w:szCs w:val="22"/>
        </w:rPr>
      </w:pPr>
      <w:r>
        <w:rPr>
          <w:rFonts w:cs="Times New Roman"/>
          <w:color w:val="auto"/>
          <w:sz w:val="22"/>
          <w:szCs w:val="22"/>
        </w:rPr>
        <w:t xml:space="preserve">En enero del 2018 se reúne nuevamente el Directorio con los investigadores, el medicamento llamado “PDC” (para de comprar) </w:t>
      </w:r>
      <w:r w:rsidR="004166EF">
        <w:rPr>
          <w:rFonts w:cs="Times New Roman"/>
          <w:color w:val="auto"/>
          <w:sz w:val="22"/>
          <w:szCs w:val="22"/>
        </w:rPr>
        <w:t>ya se encuentra aprobado y pronto a iniciar su comercialización.</w:t>
      </w:r>
    </w:p>
    <w:p w:rsidR="004166EF" w:rsidRPr="00CE0557" w:rsidRDefault="004166EF" w:rsidP="00576743">
      <w:pPr>
        <w:rPr>
          <w:rFonts w:cs="Times New Roman"/>
          <w:b/>
          <w:color w:val="auto"/>
          <w:sz w:val="22"/>
          <w:szCs w:val="22"/>
        </w:rPr>
      </w:pPr>
    </w:p>
    <w:p w:rsidR="004166EF" w:rsidRDefault="004166EF" w:rsidP="00576743">
      <w:pPr>
        <w:rPr>
          <w:rFonts w:cs="Times New Roman"/>
          <w:color w:val="auto"/>
          <w:sz w:val="22"/>
          <w:szCs w:val="22"/>
        </w:rPr>
      </w:pPr>
      <w:r>
        <w:rPr>
          <w:rFonts w:cs="Times New Roman"/>
          <w:color w:val="auto"/>
          <w:sz w:val="22"/>
          <w:szCs w:val="22"/>
        </w:rPr>
        <w:t>¿Cómo se registra el proyecto a septiembre y diciembre de 2016?</w:t>
      </w:r>
    </w:p>
    <w:p w:rsidR="00CE0557" w:rsidRPr="00CE0557" w:rsidRDefault="00CE0557" w:rsidP="00576743">
      <w:pPr>
        <w:rPr>
          <w:rFonts w:cs="Times New Roman"/>
          <w:color w:val="7030A0"/>
          <w:sz w:val="22"/>
          <w:szCs w:val="22"/>
        </w:rPr>
      </w:pPr>
    </w:p>
    <w:p w:rsidR="00CE0557" w:rsidRPr="00CE0557" w:rsidRDefault="00CE0557" w:rsidP="00576743">
      <w:pPr>
        <w:rPr>
          <w:rFonts w:cs="Times New Roman"/>
          <w:color w:val="7030A0"/>
          <w:sz w:val="22"/>
          <w:szCs w:val="22"/>
        </w:rPr>
      </w:pPr>
      <w:r w:rsidRPr="00CE0557">
        <w:rPr>
          <w:rFonts w:cs="Times New Roman"/>
          <w:color w:val="7030A0"/>
          <w:sz w:val="22"/>
          <w:szCs w:val="22"/>
        </w:rPr>
        <w:t>Respuesta: Como gasto ya que no cumple con las condiciones de ser un activo intangible.</w:t>
      </w:r>
    </w:p>
    <w:p w:rsidR="00CE0557" w:rsidRPr="00CE0557" w:rsidRDefault="00CE0557" w:rsidP="00576743">
      <w:pPr>
        <w:rPr>
          <w:rFonts w:cs="Times New Roman"/>
          <w:color w:val="auto"/>
          <w:sz w:val="22"/>
          <w:szCs w:val="22"/>
        </w:rPr>
      </w:pPr>
    </w:p>
    <w:p w:rsidR="00E414AC" w:rsidRDefault="004166EF" w:rsidP="00576743">
      <w:pPr>
        <w:rPr>
          <w:rFonts w:cs="Times New Roman"/>
          <w:color w:val="auto"/>
          <w:sz w:val="22"/>
          <w:szCs w:val="22"/>
        </w:rPr>
      </w:pPr>
      <w:r>
        <w:rPr>
          <w:rFonts w:cs="Times New Roman"/>
          <w:color w:val="auto"/>
          <w:sz w:val="22"/>
          <w:szCs w:val="22"/>
        </w:rPr>
        <w:t>¿Cómo se ve afectado el balance o resultado a junio de 2017 y diciembre de 2017?</w:t>
      </w:r>
    </w:p>
    <w:p w:rsidR="00E414AC" w:rsidRPr="00CE0557" w:rsidRDefault="00E414AC" w:rsidP="00576743">
      <w:pPr>
        <w:rPr>
          <w:rFonts w:cs="Times New Roman"/>
          <w:color w:val="7030A0"/>
          <w:sz w:val="22"/>
          <w:szCs w:val="22"/>
        </w:rPr>
      </w:pPr>
    </w:p>
    <w:p w:rsidR="00E414AC" w:rsidRPr="00CE0557" w:rsidRDefault="00CE0557" w:rsidP="00576743">
      <w:pPr>
        <w:rPr>
          <w:rFonts w:cs="Times New Roman"/>
          <w:color w:val="7030A0"/>
          <w:sz w:val="22"/>
          <w:szCs w:val="22"/>
        </w:rPr>
      </w:pPr>
      <w:r w:rsidRPr="00CE0557">
        <w:rPr>
          <w:rFonts w:cs="Times New Roman"/>
          <w:color w:val="7030A0"/>
          <w:sz w:val="22"/>
          <w:szCs w:val="22"/>
        </w:rPr>
        <w:t xml:space="preserve">A junio en balance no se reconoce activo y en resultado son llevados como gasto los desembolsos, a partir de julio y hasta diciembre 2017 se activan los gastos como un activo intangible. (Recordar que solamente los gastos desde julio en adelante, no se ajusta hacia atrás.) </w:t>
      </w:r>
    </w:p>
    <w:p w:rsidR="00C77250" w:rsidRDefault="00C77250" w:rsidP="00576743"/>
    <w:sectPr w:rsidR="00C77250">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54B" w:rsidRDefault="00EA154B" w:rsidP="00EA154B">
      <w:r>
        <w:separator/>
      </w:r>
    </w:p>
  </w:endnote>
  <w:endnote w:type="continuationSeparator" w:id="0">
    <w:p w:rsidR="00EA154B" w:rsidRDefault="00EA154B" w:rsidP="00EA1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4B" w:rsidRDefault="00EA154B">
    <w:pPr>
      <w:pStyle w:val="Footer"/>
    </w:pPr>
  </w:p>
  <w:p w:rsidR="00EA154B" w:rsidRDefault="00EA154B" w:rsidP="00EA154B">
    <w:pPr>
      <w:pStyle w:val="DSLxSty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4B" w:rsidRDefault="00EA154B">
    <w:pPr>
      <w:pStyle w:val="Footer"/>
    </w:pPr>
  </w:p>
  <w:p w:rsidR="00EA154B" w:rsidRDefault="00EA154B" w:rsidP="00EA154B">
    <w:pPr>
      <w:pStyle w:val="DSLxSty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4B" w:rsidRDefault="00EA154B">
    <w:pPr>
      <w:pStyle w:val="Footer"/>
    </w:pPr>
  </w:p>
  <w:p w:rsidR="00EA154B" w:rsidRDefault="00EA154B" w:rsidP="00EA154B">
    <w:pPr>
      <w:pStyle w:val="DSLxSty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54B" w:rsidRDefault="00EA154B" w:rsidP="00EA154B">
      <w:r>
        <w:separator/>
      </w:r>
    </w:p>
  </w:footnote>
  <w:footnote w:type="continuationSeparator" w:id="0">
    <w:p w:rsidR="00EA154B" w:rsidRDefault="00EA154B" w:rsidP="00EA15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4B" w:rsidRDefault="00EA15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4B" w:rsidRDefault="00EA15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54B" w:rsidRDefault="00EA15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90573"/>
    <w:multiLevelType w:val="hybridMultilevel"/>
    <w:tmpl w:val="3342D688"/>
    <w:lvl w:ilvl="0" w:tplc="A014C2B6">
      <w:start w:val="1"/>
      <w:numFmt w:val="decimal"/>
      <w:pStyle w:val="DSLxStyle"/>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FF9194C"/>
    <w:multiLevelType w:val="hybridMultilevel"/>
    <w:tmpl w:val="1B481B8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70"/>
    <w:rsid w:val="00056485"/>
    <w:rsid w:val="00111033"/>
    <w:rsid w:val="00143881"/>
    <w:rsid w:val="002B474C"/>
    <w:rsid w:val="004166EF"/>
    <w:rsid w:val="00475B9A"/>
    <w:rsid w:val="00490DFA"/>
    <w:rsid w:val="00576743"/>
    <w:rsid w:val="00692A59"/>
    <w:rsid w:val="00756C65"/>
    <w:rsid w:val="0077247B"/>
    <w:rsid w:val="007B72AB"/>
    <w:rsid w:val="00872D33"/>
    <w:rsid w:val="00884770"/>
    <w:rsid w:val="00B14896"/>
    <w:rsid w:val="00B969F7"/>
    <w:rsid w:val="00BC0882"/>
    <w:rsid w:val="00C276DB"/>
    <w:rsid w:val="00C42A54"/>
    <w:rsid w:val="00C77250"/>
    <w:rsid w:val="00CE0557"/>
    <w:rsid w:val="00CE4A3F"/>
    <w:rsid w:val="00D17D90"/>
    <w:rsid w:val="00D212A5"/>
    <w:rsid w:val="00D24EA9"/>
    <w:rsid w:val="00E414AC"/>
    <w:rsid w:val="00E56739"/>
    <w:rsid w:val="00E807E3"/>
    <w:rsid w:val="00EA154B"/>
    <w:rsid w:val="00EE160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EEB5E-735E-4655-93EF-F3BA8172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770"/>
    <w:pPr>
      <w:spacing w:after="0" w:line="240" w:lineRule="auto"/>
      <w:jc w:val="both"/>
    </w:pPr>
    <w:rPr>
      <w:rFonts w:ascii="Times New Roman" w:eastAsia="Times New Roman" w:hAnsi="Times New Roman"/>
      <w:color w:val="000000"/>
      <w:sz w:val="20"/>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4770"/>
    <w:pPr>
      <w:ind w:left="708"/>
    </w:pPr>
    <w:rPr>
      <w:rFonts w:ascii="Palatino" w:hAnsi="Palatino"/>
      <w:sz w:val="24"/>
    </w:rPr>
  </w:style>
  <w:style w:type="paragraph" w:customStyle="1" w:styleId="DSLxStyle">
    <w:name w:val="DSLxStyle"/>
    <w:basedOn w:val="ListParagraph"/>
    <w:link w:val="DSLxStyleChar"/>
    <w:rsid w:val="00EA154B"/>
    <w:pPr>
      <w:numPr>
        <w:numId w:val="2"/>
      </w:numPr>
      <w:jc w:val="right"/>
    </w:pPr>
    <w:rPr>
      <w:rFonts w:cs="Times New Roman"/>
      <w:color w:val="666666"/>
      <w:sz w:val="12"/>
    </w:rPr>
  </w:style>
  <w:style w:type="character" w:customStyle="1" w:styleId="ListParagraphChar">
    <w:name w:val="List Paragraph Char"/>
    <w:basedOn w:val="DefaultParagraphFont"/>
    <w:link w:val="ListParagraph"/>
    <w:uiPriority w:val="34"/>
    <w:rsid w:val="00EA154B"/>
    <w:rPr>
      <w:rFonts w:ascii="Palatino" w:eastAsia="Times New Roman" w:hAnsi="Palatino"/>
      <w:color w:val="000000"/>
      <w:sz w:val="24"/>
      <w:szCs w:val="24"/>
      <w:lang w:eastAsia="es-ES"/>
    </w:rPr>
  </w:style>
  <w:style w:type="character" w:customStyle="1" w:styleId="DSLxStyleChar">
    <w:name w:val="DSLxStyle Char"/>
    <w:basedOn w:val="ListParagraphChar"/>
    <w:link w:val="DSLxStyle"/>
    <w:rsid w:val="00EA154B"/>
    <w:rPr>
      <w:rFonts w:ascii="Palatino" w:eastAsia="Times New Roman" w:hAnsi="Palatino" w:cs="Times New Roman"/>
      <w:color w:val="666666"/>
      <w:sz w:val="12"/>
      <w:szCs w:val="24"/>
      <w:lang w:eastAsia="es-ES"/>
    </w:rPr>
  </w:style>
  <w:style w:type="paragraph" w:styleId="Header">
    <w:name w:val="header"/>
    <w:basedOn w:val="Normal"/>
    <w:link w:val="HeaderChar"/>
    <w:uiPriority w:val="99"/>
    <w:unhideWhenUsed/>
    <w:rsid w:val="00EA154B"/>
    <w:pPr>
      <w:tabs>
        <w:tab w:val="center" w:pos="4680"/>
        <w:tab w:val="right" w:pos="9360"/>
      </w:tabs>
    </w:pPr>
  </w:style>
  <w:style w:type="character" w:customStyle="1" w:styleId="HeaderChar">
    <w:name w:val="Header Char"/>
    <w:basedOn w:val="DefaultParagraphFont"/>
    <w:link w:val="Header"/>
    <w:uiPriority w:val="99"/>
    <w:rsid w:val="00EA154B"/>
    <w:rPr>
      <w:rFonts w:ascii="Times New Roman" w:eastAsia="Times New Roman" w:hAnsi="Times New Roman"/>
      <w:color w:val="000000"/>
      <w:sz w:val="20"/>
      <w:szCs w:val="24"/>
      <w:lang w:eastAsia="es-ES"/>
    </w:rPr>
  </w:style>
  <w:style w:type="paragraph" w:styleId="Footer">
    <w:name w:val="footer"/>
    <w:basedOn w:val="Normal"/>
    <w:link w:val="FooterChar"/>
    <w:uiPriority w:val="99"/>
    <w:unhideWhenUsed/>
    <w:rsid w:val="00EA154B"/>
    <w:pPr>
      <w:tabs>
        <w:tab w:val="center" w:pos="4680"/>
        <w:tab w:val="right" w:pos="9360"/>
      </w:tabs>
    </w:pPr>
  </w:style>
  <w:style w:type="character" w:customStyle="1" w:styleId="FooterChar">
    <w:name w:val="Footer Char"/>
    <w:basedOn w:val="DefaultParagraphFont"/>
    <w:link w:val="Footer"/>
    <w:uiPriority w:val="99"/>
    <w:rsid w:val="00EA154B"/>
    <w:rPr>
      <w:rFonts w:ascii="Times New Roman" w:eastAsia="Times New Roman" w:hAnsi="Times New Roman"/>
      <w:color w:val="000000"/>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ZMAuto</vt:lpwstr>
  </property>
  <property fmtid="{D5CDD505-2E9C-101B-9397-08002B2CF9AE}" pid="3" name="SizeBefore">
    <vt:lpwstr>21872</vt:lpwstr>
  </property>
  <property fmtid="{D5CDD505-2E9C-101B-9397-08002B2CF9AE}" pid="4" name="OptimizationTime">
    <vt:lpwstr>20160503_1809</vt:lpwstr>
  </property>
</Properties>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3581</Characters>
  <Application>Microsoft Office Word</Application>
  <DocSecurity>0</DocSecurity>
  <Lines>89</Lines>
  <Paragraphs>32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Sepulveda</dc:creator>
  <cp:keywords/>
  <dc:description/>
  <cp:lastModifiedBy>Nelson Caceres Donoso</cp:lastModifiedBy>
  <cp:revision>3</cp:revision>
  <dcterms:created xsi:type="dcterms:W3CDTF">2016-05-02T02:51:00Z</dcterms:created>
  <dcterms:modified xsi:type="dcterms:W3CDTF">2016-05-02T02:51:00Z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SLxDOC_SAVED">
    <vt:lpwstr>1</vt:lpwstr>
  </property>
  <property fmtid="{D5CDD505-2E9C-101B-9397-08002B2CF9AE}" pid="3" name="DSLxDOC_CLOSING">
    <vt:lpwstr>1</vt:lpwstr>
  </property>
  <property fmtid="{D5CDD505-2E9C-101B-9397-08002B2CF9AE}" pid="4" name="DSLxMANUAL_CLASSIFICATION">
    <vt:lpwstr>1</vt:lpwstr>
  </property>
  <property fmtid="{D5CDD505-2E9C-101B-9397-08002B2CF9AE}" pid="5" name="SSDCxCLASSFICATION_LEVEL">
    <vt:lpwstr>1</vt:lpwstr>
  </property>
  <property fmtid="{D5CDD505-2E9C-101B-9397-08002B2CF9AE}" pid="6" name="SSDCxCLASSFICATION_USER">
    <vt:lpwstr>SOACAT\ncaceres</vt:lpwstr>
  </property>
  <property fmtid="{D5CDD505-2E9C-101B-9397-08002B2CF9AE}" pid="7" name="SSDCxCLASSFICATION_DATE">
    <vt:lpwstr>01-05-2016 23:51:49</vt:lpwstr>
  </property>
  <property fmtid="{D5CDD505-2E9C-101B-9397-08002B2CF9AE}" pid="8" name="SSDCxCLASSFICATION_GUID">
    <vt:lpwstr>A665EE59B88B504B4248A573D68E2635</vt:lpwstr>
  </property>
  <property fmtid="{D5CDD505-2E9C-101B-9397-08002B2CF9AE}" pid="9" name="SSDCxCLASSFICATION_LANG">
    <vt:lpwstr>es</vt:lpwstr>
  </property>
  <property fmtid="{D5CDD505-2E9C-101B-9397-08002B2CF9AE}" pid="10" name="DSLxDOC_SAVING">
    <vt:lpwstr>1</vt:lpwstr>
  </property>
</Properties>
</file>