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3D666" w14:textId="77777777" w:rsidR="00146754" w:rsidRPr="00DD7502" w:rsidRDefault="00146754" w:rsidP="00146754">
      <w:pPr>
        <w:spacing w:before="240"/>
        <w:rPr>
          <w:b/>
          <w:szCs w:val="20"/>
        </w:rPr>
      </w:pPr>
      <w:r w:rsidRPr="00DD7502">
        <w:rPr>
          <w:b/>
          <w:sz w:val="22"/>
          <w:szCs w:val="22"/>
        </w:rPr>
        <w:t>PONTIFICIA UNIVER</w:t>
      </w:r>
      <w:r w:rsidR="006833AA" w:rsidRPr="00DD7502">
        <w:rPr>
          <w:b/>
          <w:sz w:val="22"/>
          <w:szCs w:val="22"/>
        </w:rPr>
        <w:t>SIDAD CATÓLICA DE CHILE</w:t>
      </w:r>
      <w:r w:rsidR="006833AA" w:rsidRPr="00DD7502">
        <w:rPr>
          <w:b/>
          <w:sz w:val="22"/>
          <w:szCs w:val="22"/>
        </w:rPr>
        <w:tab/>
      </w:r>
      <w:r w:rsidR="006833AA" w:rsidRPr="00DD7502">
        <w:rPr>
          <w:b/>
          <w:sz w:val="22"/>
          <w:szCs w:val="22"/>
        </w:rPr>
        <w:tab/>
      </w:r>
      <w:r w:rsidR="00DD7502">
        <w:rPr>
          <w:b/>
          <w:sz w:val="22"/>
          <w:szCs w:val="22"/>
        </w:rPr>
        <w:t xml:space="preserve">   </w:t>
      </w:r>
      <w:r w:rsidR="00D646EE">
        <w:rPr>
          <w:b/>
          <w:sz w:val="22"/>
          <w:szCs w:val="22"/>
        </w:rPr>
        <w:t xml:space="preserve">           6 de abril de 2017</w:t>
      </w:r>
    </w:p>
    <w:p w14:paraId="6C34F3EC" w14:textId="77777777" w:rsidR="00146754" w:rsidRPr="00DD7502" w:rsidRDefault="00146754" w:rsidP="00146754">
      <w:pPr>
        <w:tabs>
          <w:tab w:val="left" w:pos="4252"/>
          <w:tab w:val="left" w:pos="5216"/>
          <w:tab w:val="left" w:pos="9040"/>
        </w:tabs>
        <w:ind w:right="11"/>
        <w:rPr>
          <w:b/>
          <w:i/>
          <w:sz w:val="22"/>
          <w:szCs w:val="22"/>
          <w:lang w:val="es-ES_tradnl"/>
        </w:rPr>
      </w:pPr>
      <w:r w:rsidRPr="00DD7502">
        <w:rPr>
          <w:b/>
          <w:sz w:val="22"/>
          <w:szCs w:val="22"/>
          <w:lang w:val="es-ES_tradnl"/>
        </w:rPr>
        <w:t>ESCUELA DE ADMINISTRACIÓN</w:t>
      </w:r>
    </w:p>
    <w:p w14:paraId="467EA217" w14:textId="77777777" w:rsidR="00146754" w:rsidRPr="00DD7502" w:rsidRDefault="00146754" w:rsidP="002D4BDC">
      <w:pPr>
        <w:tabs>
          <w:tab w:val="left" w:pos="4536"/>
          <w:tab w:val="left" w:pos="5216"/>
          <w:tab w:val="right" w:pos="9498"/>
        </w:tabs>
        <w:spacing w:before="240"/>
        <w:ind w:right="12"/>
        <w:rPr>
          <w:i/>
          <w:sz w:val="22"/>
          <w:szCs w:val="22"/>
          <w:lang w:val="es-ES_tradnl"/>
        </w:rPr>
      </w:pPr>
      <w:r w:rsidRPr="00DD7502">
        <w:rPr>
          <w:sz w:val="22"/>
          <w:szCs w:val="22"/>
          <w:lang w:val="es-ES_tradnl"/>
        </w:rPr>
        <w:tab/>
      </w:r>
      <w:r w:rsidR="00235577">
        <w:rPr>
          <w:b/>
          <w:sz w:val="22"/>
          <w:szCs w:val="22"/>
          <w:lang w:val="es-ES_tradnl"/>
        </w:rPr>
        <w:t>NOMBRE</w:t>
      </w:r>
      <w:r w:rsidRPr="00DD7502">
        <w:rPr>
          <w:b/>
          <w:sz w:val="22"/>
          <w:szCs w:val="22"/>
          <w:lang w:val="es-ES_tradnl"/>
        </w:rPr>
        <w:t>:</w:t>
      </w:r>
      <w:r w:rsidR="00235577">
        <w:rPr>
          <w:b/>
          <w:sz w:val="22"/>
          <w:szCs w:val="22"/>
          <w:lang w:val="es-ES_tradnl"/>
        </w:rPr>
        <w:t xml:space="preserve"> </w:t>
      </w:r>
      <w:r w:rsidRPr="00DD7502">
        <w:rPr>
          <w:b/>
          <w:sz w:val="22"/>
          <w:szCs w:val="22"/>
          <w:u w:val="single"/>
          <w:lang w:val="es-ES_tradnl"/>
        </w:rPr>
        <w:tab/>
      </w:r>
    </w:p>
    <w:p w14:paraId="031D21DA" w14:textId="77777777" w:rsidR="00146754" w:rsidRPr="00DD7502" w:rsidRDefault="00146754" w:rsidP="00146754">
      <w:pPr>
        <w:tabs>
          <w:tab w:val="left" w:pos="4252"/>
          <w:tab w:val="left" w:pos="9040"/>
        </w:tabs>
        <w:ind w:right="11"/>
        <w:jc w:val="center"/>
        <w:rPr>
          <w:b/>
          <w:i/>
          <w:sz w:val="22"/>
          <w:szCs w:val="22"/>
          <w:lang w:val="es-ES_tradnl"/>
        </w:rPr>
      </w:pPr>
    </w:p>
    <w:p w14:paraId="0FA86557" w14:textId="77777777" w:rsidR="00C23705" w:rsidRDefault="00C23705" w:rsidP="00C23705">
      <w:pPr>
        <w:pStyle w:val="Header"/>
        <w:ind w:firstLine="2124"/>
        <w:jc w:val="right"/>
        <w:rPr>
          <w:sz w:val="22"/>
          <w:szCs w:val="22"/>
        </w:rPr>
      </w:pPr>
    </w:p>
    <w:p w14:paraId="4A44767A" w14:textId="77777777" w:rsidR="00C23705" w:rsidRPr="00C23705" w:rsidRDefault="00C23705" w:rsidP="00C23705">
      <w:pPr>
        <w:pStyle w:val="Header"/>
        <w:tabs>
          <w:tab w:val="clear" w:pos="4419"/>
          <w:tab w:val="left" w:pos="7371"/>
        </w:tabs>
        <w:jc w:val="center"/>
        <w:rPr>
          <w:b/>
          <w:sz w:val="22"/>
          <w:szCs w:val="22"/>
        </w:rPr>
      </w:pPr>
      <w:r>
        <w:rPr>
          <w:noProof/>
          <w:sz w:val="22"/>
          <w:szCs w:val="22"/>
          <w:lang w:val="en-US" w:eastAsia="en-US"/>
        </w:rPr>
        <mc:AlternateContent>
          <mc:Choice Requires="wps">
            <w:drawing>
              <wp:anchor distT="0" distB="0" distL="114300" distR="114300" simplePos="0" relativeHeight="251661312" behindDoc="0" locked="0" layoutInCell="1" allowOverlap="1" wp14:anchorId="4BE8C131" wp14:editId="3B485BD4">
                <wp:simplePos x="0" y="0"/>
                <wp:positionH relativeFrom="column">
                  <wp:posOffset>5391785</wp:posOffset>
                </wp:positionH>
                <wp:positionV relativeFrom="paragraph">
                  <wp:posOffset>-173990</wp:posOffset>
                </wp:positionV>
                <wp:extent cx="714375" cy="428625"/>
                <wp:effectExtent l="9525" t="9525" r="9525" b="95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75556" id="Rectángulo 3" o:spid="_x0000_s1026" style="position:absolute;margin-left:424.55pt;margin-top:-13.7pt;width:56.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"/>
            </w:pict>
          </mc:Fallback>
        </mc:AlternateContent>
      </w:r>
      <w:r>
        <w:rPr>
          <w:sz w:val="22"/>
          <w:szCs w:val="22"/>
        </w:rPr>
        <w:tab/>
      </w:r>
      <w:r w:rsidRPr="00C23705">
        <w:rPr>
          <w:b/>
          <w:sz w:val="22"/>
          <w:szCs w:val="22"/>
        </w:rPr>
        <w:t xml:space="preserve">Número </w:t>
      </w:r>
      <w:r w:rsidRPr="00C23705">
        <w:rPr>
          <w:b/>
          <w:sz w:val="22"/>
          <w:szCs w:val="22"/>
        </w:rPr>
        <w:tab/>
      </w:r>
    </w:p>
    <w:p w14:paraId="3F81F5D2" w14:textId="77777777" w:rsidR="00C23705" w:rsidRDefault="00C23705" w:rsidP="00146754">
      <w:pPr>
        <w:ind w:left="-142" w:right="12"/>
        <w:jc w:val="center"/>
        <w:rPr>
          <w:b/>
          <w:sz w:val="22"/>
          <w:szCs w:val="22"/>
          <w:lang w:val="es-ES_tradnl"/>
        </w:rPr>
      </w:pPr>
    </w:p>
    <w:p w14:paraId="77C04869" w14:textId="77777777" w:rsidR="00146754" w:rsidRPr="00DD7502" w:rsidRDefault="00146754" w:rsidP="00146754">
      <w:pPr>
        <w:ind w:left="-142" w:right="12"/>
        <w:jc w:val="center"/>
        <w:rPr>
          <w:b/>
          <w:i/>
          <w:sz w:val="22"/>
          <w:szCs w:val="22"/>
          <w:lang w:val="es-ES_tradnl"/>
        </w:rPr>
      </w:pPr>
      <w:r w:rsidRPr="00DD7502">
        <w:rPr>
          <w:b/>
          <w:sz w:val="22"/>
          <w:szCs w:val="22"/>
          <w:lang w:val="es-ES_tradnl"/>
        </w:rPr>
        <w:t>PRUEBA Nº</w:t>
      </w:r>
      <w:r w:rsidR="00F54B73" w:rsidRPr="00DD7502">
        <w:rPr>
          <w:b/>
          <w:sz w:val="22"/>
          <w:szCs w:val="22"/>
          <w:lang w:val="es-ES_tradnl"/>
        </w:rPr>
        <w:t>1</w:t>
      </w:r>
    </w:p>
    <w:p w14:paraId="26A6DD28" w14:textId="77777777" w:rsidR="00146754" w:rsidRPr="00DD7502" w:rsidRDefault="00146754" w:rsidP="00146754">
      <w:pPr>
        <w:ind w:left="-142" w:right="12"/>
        <w:jc w:val="center"/>
        <w:rPr>
          <w:b/>
          <w:i/>
          <w:sz w:val="22"/>
          <w:szCs w:val="22"/>
        </w:rPr>
      </w:pPr>
      <w:r w:rsidRPr="00DD7502">
        <w:rPr>
          <w:b/>
          <w:sz w:val="22"/>
          <w:szCs w:val="22"/>
          <w:lang w:val="es-ES_tradnl"/>
        </w:rPr>
        <w:t>CONTABILIDAD GERENCIAL</w:t>
      </w:r>
    </w:p>
    <w:p w14:paraId="6A7F087E" w14:textId="77777777" w:rsidR="00146754" w:rsidRPr="00DD7502" w:rsidRDefault="00F54B73" w:rsidP="005A31BA">
      <w:pPr>
        <w:tabs>
          <w:tab w:val="left" w:pos="6237"/>
          <w:tab w:val="left" w:pos="7087"/>
        </w:tabs>
        <w:spacing w:before="360"/>
        <w:ind w:right="11"/>
        <w:jc w:val="both"/>
        <w:rPr>
          <w:b/>
          <w:i/>
          <w:sz w:val="22"/>
          <w:szCs w:val="22"/>
          <w:lang w:val="es-ES_tradnl"/>
        </w:rPr>
      </w:pPr>
      <w:r w:rsidRPr="00DD7502">
        <w:rPr>
          <w:b/>
          <w:sz w:val="22"/>
          <w:szCs w:val="22"/>
          <w:lang w:val="es-ES_tradnl"/>
        </w:rPr>
        <w:t>Segundo</w:t>
      </w:r>
      <w:r w:rsidR="00146754" w:rsidRPr="00DD7502">
        <w:rPr>
          <w:b/>
          <w:sz w:val="22"/>
          <w:szCs w:val="22"/>
          <w:lang w:val="es-ES_tradnl"/>
        </w:rPr>
        <w:t xml:space="preserve"> Semestre 2016</w:t>
      </w:r>
    </w:p>
    <w:p w14:paraId="2675B61F" w14:textId="77777777" w:rsidR="00146754" w:rsidRPr="00DD7502" w:rsidRDefault="00146754" w:rsidP="00146754">
      <w:pPr>
        <w:tabs>
          <w:tab w:val="left" w:pos="6237"/>
          <w:tab w:val="left" w:pos="7087"/>
        </w:tabs>
        <w:ind w:right="12"/>
        <w:rPr>
          <w:b/>
          <w:i/>
          <w:sz w:val="22"/>
          <w:szCs w:val="22"/>
          <w:lang w:val="es-ES_tradnl"/>
        </w:rPr>
      </w:pPr>
    </w:p>
    <w:p w14:paraId="0CD88FC4" w14:textId="77777777" w:rsidR="00146754" w:rsidRPr="00DD7502" w:rsidRDefault="00146754" w:rsidP="00146754">
      <w:pPr>
        <w:tabs>
          <w:tab w:val="left" w:pos="6237"/>
          <w:tab w:val="left" w:pos="7087"/>
        </w:tabs>
        <w:ind w:right="12"/>
        <w:rPr>
          <w:i/>
          <w:sz w:val="22"/>
          <w:szCs w:val="22"/>
          <w:lang w:val="es-ES_tradnl"/>
        </w:rPr>
      </w:pPr>
      <w:r w:rsidRPr="00DD7502">
        <w:rPr>
          <w:b/>
          <w:sz w:val="22"/>
          <w:szCs w:val="22"/>
          <w:lang w:val="es-ES_tradnl"/>
        </w:rPr>
        <w:t>Tiempo</w:t>
      </w:r>
      <w:r w:rsidRPr="00DD7502">
        <w:rPr>
          <w:sz w:val="22"/>
          <w:szCs w:val="22"/>
          <w:lang w:val="es-ES_tradnl"/>
        </w:rPr>
        <w:t>: 80 minutos</w:t>
      </w:r>
    </w:p>
    <w:p w14:paraId="6B101723" w14:textId="4DC581B1" w:rsidR="00146754" w:rsidRPr="00DD7502" w:rsidRDefault="00146754" w:rsidP="00146754">
      <w:pPr>
        <w:tabs>
          <w:tab w:val="left" w:pos="6237"/>
          <w:tab w:val="left" w:pos="7088"/>
        </w:tabs>
        <w:ind w:right="12"/>
        <w:rPr>
          <w:i/>
          <w:sz w:val="22"/>
          <w:szCs w:val="22"/>
          <w:lang w:val="es-ES_tradnl"/>
        </w:rPr>
      </w:pPr>
      <w:r w:rsidRPr="00DD7502">
        <w:rPr>
          <w:b/>
          <w:sz w:val="22"/>
          <w:szCs w:val="22"/>
          <w:lang w:val="es-ES_tradnl"/>
        </w:rPr>
        <w:t>Puntaje total</w:t>
      </w:r>
      <w:r w:rsidR="005E2323" w:rsidRPr="00DE011B">
        <w:rPr>
          <w:sz w:val="22"/>
          <w:szCs w:val="22"/>
          <w:lang w:val="es-ES_tradnl"/>
        </w:rPr>
        <w:t xml:space="preserve">: </w:t>
      </w:r>
      <w:r w:rsidR="00DE011B" w:rsidRPr="00DE011B">
        <w:rPr>
          <w:sz w:val="22"/>
          <w:szCs w:val="22"/>
          <w:lang w:val="es-ES_tradnl"/>
        </w:rPr>
        <w:t>80</w:t>
      </w:r>
      <w:r w:rsidRPr="00DE011B">
        <w:rPr>
          <w:sz w:val="22"/>
          <w:szCs w:val="22"/>
          <w:lang w:val="es-ES_tradnl"/>
        </w:rPr>
        <w:t xml:space="preserve"> puntos</w:t>
      </w:r>
    </w:p>
    <w:p w14:paraId="635477BF" w14:textId="77777777" w:rsidR="00146754" w:rsidRPr="00DD7502" w:rsidRDefault="00146754" w:rsidP="00146754">
      <w:pPr>
        <w:tabs>
          <w:tab w:val="left" w:pos="6237"/>
          <w:tab w:val="left" w:pos="7088"/>
        </w:tabs>
        <w:ind w:right="12"/>
        <w:rPr>
          <w:b/>
          <w:bCs/>
          <w:i/>
          <w:sz w:val="22"/>
          <w:szCs w:val="22"/>
          <w:lang w:val="es-ES"/>
        </w:rPr>
      </w:pPr>
    </w:p>
    <w:p w14:paraId="3A82D917" w14:textId="77777777" w:rsidR="00146754" w:rsidRPr="00DD7502" w:rsidRDefault="00146754" w:rsidP="00146754">
      <w:pPr>
        <w:widowControl w:val="0"/>
        <w:tabs>
          <w:tab w:val="left" w:pos="6379"/>
        </w:tabs>
        <w:autoSpaceDE w:val="0"/>
        <w:autoSpaceDN w:val="0"/>
        <w:adjustRightInd w:val="0"/>
        <w:spacing w:before="1"/>
        <w:ind w:right="-23"/>
        <w:rPr>
          <w:bCs/>
          <w:i/>
          <w:sz w:val="22"/>
          <w:szCs w:val="22"/>
          <w:lang w:val="es-ES"/>
        </w:rPr>
      </w:pPr>
      <w:r w:rsidRPr="00DD7502">
        <w:rPr>
          <w:b/>
          <w:bCs/>
          <w:spacing w:val="6"/>
          <w:sz w:val="22"/>
          <w:szCs w:val="22"/>
          <w:lang w:val="es-ES"/>
        </w:rPr>
        <w:t>P</w:t>
      </w:r>
      <w:r w:rsidRPr="00DD7502">
        <w:rPr>
          <w:b/>
          <w:bCs/>
          <w:spacing w:val="-3"/>
          <w:sz w:val="22"/>
          <w:szCs w:val="22"/>
          <w:lang w:val="es-ES"/>
        </w:rPr>
        <w:t>r</w:t>
      </w:r>
      <w:r w:rsidRPr="00DD7502">
        <w:rPr>
          <w:b/>
          <w:bCs/>
          <w:sz w:val="22"/>
          <w:szCs w:val="22"/>
          <w:lang w:val="es-ES"/>
        </w:rPr>
        <w:t>o</w:t>
      </w:r>
      <w:r w:rsidRPr="00DD7502">
        <w:rPr>
          <w:b/>
          <w:bCs/>
          <w:spacing w:val="-2"/>
          <w:sz w:val="22"/>
          <w:szCs w:val="22"/>
          <w:lang w:val="es-ES"/>
        </w:rPr>
        <w:t>fe</w:t>
      </w:r>
      <w:r w:rsidRPr="00DD7502">
        <w:rPr>
          <w:b/>
          <w:bCs/>
          <w:spacing w:val="1"/>
          <w:sz w:val="22"/>
          <w:szCs w:val="22"/>
          <w:lang w:val="es-ES"/>
        </w:rPr>
        <w:t>sores</w:t>
      </w:r>
      <w:r w:rsidRPr="00DD7502">
        <w:rPr>
          <w:b/>
          <w:bCs/>
          <w:sz w:val="22"/>
          <w:szCs w:val="22"/>
          <w:lang w:val="es-ES"/>
        </w:rPr>
        <w:t xml:space="preserve">: </w:t>
      </w:r>
      <w:r w:rsidRPr="00DD7502">
        <w:rPr>
          <w:b/>
          <w:bCs/>
          <w:spacing w:val="29"/>
          <w:sz w:val="22"/>
          <w:szCs w:val="22"/>
          <w:lang w:val="es-ES"/>
        </w:rPr>
        <w:t xml:space="preserve"> </w:t>
      </w:r>
      <w:r w:rsidRPr="00DD7502">
        <w:rPr>
          <w:b/>
          <w:bCs/>
          <w:spacing w:val="29"/>
          <w:sz w:val="22"/>
          <w:szCs w:val="22"/>
          <w:lang w:val="es-ES"/>
        </w:rPr>
        <w:tab/>
      </w:r>
      <w:r w:rsidRPr="00DD7502">
        <w:rPr>
          <w:b/>
          <w:bCs/>
          <w:spacing w:val="29"/>
          <w:sz w:val="22"/>
          <w:szCs w:val="22"/>
          <w:lang w:val="es-ES"/>
        </w:rPr>
        <w:tab/>
      </w:r>
      <w:r w:rsidRPr="00DD7502">
        <w:rPr>
          <w:b/>
          <w:bCs/>
          <w:spacing w:val="-2"/>
          <w:sz w:val="22"/>
          <w:szCs w:val="22"/>
          <w:lang w:val="es-ES"/>
        </w:rPr>
        <w:t>A</w:t>
      </w:r>
      <w:r w:rsidRPr="00DD7502">
        <w:rPr>
          <w:b/>
          <w:bCs/>
          <w:sz w:val="22"/>
          <w:szCs w:val="22"/>
          <w:lang w:val="es-ES"/>
        </w:rPr>
        <w:t>y</w:t>
      </w:r>
      <w:r w:rsidRPr="00DD7502">
        <w:rPr>
          <w:b/>
          <w:bCs/>
          <w:spacing w:val="3"/>
          <w:sz w:val="22"/>
          <w:szCs w:val="22"/>
          <w:lang w:val="es-ES"/>
        </w:rPr>
        <w:t>udante</w:t>
      </w:r>
      <w:r w:rsidRPr="00DD7502">
        <w:rPr>
          <w:b/>
          <w:bCs/>
          <w:spacing w:val="1"/>
          <w:sz w:val="22"/>
          <w:szCs w:val="22"/>
          <w:lang w:val="es-ES"/>
        </w:rPr>
        <w:t>s</w:t>
      </w:r>
      <w:r w:rsidRPr="00DD7502">
        <w:rPr>
          <w:b/>
          <w:bCs/>
          <w:sz w:val="22"/>
          <w:szCs w:val="22"/>
          <w:lang w:val="es-ES"/>
        </w:rPr>
        <w:t>:</w:t>
      </w:r>
    </w:p>
    <w:p w14:paraId="48CF271D" w14:textId="77777777" w:rsidR="00FC2334" w:rsidRPr="00DD0B55" w:rsidRDefault="007D6D69" w:rsidP="00726E3F">
      <w:pPr>
        <w:tabs>
          <w:tab w:val="left" w:pos="7088"/>
        </w:tabs>
        <w:rPr>
          <w:sz w:val="22"/>
          <w:szCs w:val="22"/>
        </w:rPr>
      </w:pPr>
      <w:r>
        <w:rPr>
          <w:sz w:val="22"/>
          <w:szCs w:val="22"/>
        </w:rPr>
        <w:t>Luis Camilla</w:t>
      </w:r>
      <w:r w:rsidR="00FC2334" w:rsidRPr="00DD0B55">
        <w:rPr>
          <w:sz w:val="22"/>
          <w:szCs w:val="22"/>
        </w:rPr>
        <w:tab/>
      </w:r>
      <w:r>
        <w:rPr>
          <w:sz w:val="22"/>
          <w:szCs w:val="22"/>
        </w:rPr>
        <w:t>Nicolás Ugarte</w:t>
      </w:r>
    </w:p>
    <w:p w14:paraId="4E1C629E" w14:textId="77777777" w:rsidR="00FC2334" w:rsidRDefault="007D6D69" w:rsidP="007D6D69">
      <w:pPr>
        <w:tabs>
          <w:tab w:val="left" w:pos="7088"/>
        </w:tabs>
        <w:rPr>
          <w:sz w:val="22"/>
          <w:szCs w:val="22"/>
        </w:rPr>
      </w:pPr>
      <w:r>
        <w:rPr>
          <w:sz w:val="22"/>
          <w:szCs w:val="22"/>
        </w:rPr>
        <w:t>Oscar Gálvez</w:t>
      </w:r>
      <w:r w:rsidR="00FC2334" w:rsidRPr="00DD0B55">
        <w:rPr>
          <w:sz w:val="22"/>
          <w:szCs w:val="22"/>
        </w:rPr>
        <w:tab/>
      </w:r>
      <w:r>
        <w:rPr>
          <w:sz w:val="22"/>
          <w:szCs w:val="22"/>
        </w:rPr>
        <w:t>Verónica Herrera</w:t>
      </w:r>
    </w:p>
    <w:p w14:paraId="3200347F" w14:textId="77777777" w:rsidR="00E372C5" w:rsidRDefault="00E372C5" w:rsidP="00FC2334">
      <w:pPr>
        <w:tabs>
          <w:tab w:val="left" w:pos="7088"/>
        </w:tabs>
        <w:rPr>
          <w:sz w:val="22"/>
          <w:szCs w:val="22"/>
        </w:rPr>
      </w:pPr>
      <w:r>
        <w:rPr>
          <w:sz w:val="22"/>
          <w:szCs w:val="22"/>
        </w:rPr>
        <w:t>Carlos Sepúlveda</w:t>
      </w:r>
      <w:r w:rsidR="0018220C">
        <w:rPr>
          <w:sz w:val="22"/>
          <w:szCs w:val="22"/>
        </w:rPr>
        <w:tab/>
      </w:r>
      <w:r w:rsidR="005E2323">
        <w:rPr>
          <w:sz w:val="22"/>
          <w:szCs w:val="22"/>
        </w:rPr>
        <w:t>Horacio Salamanca</w:t>
      </w:r>
    </w:p>
    <w:p w14:paraId="4CEAB198" w14:textId="77777777" w:rsidR="00146754" w:rsidRPr="0067115D" w:rsidRDefault="00E372C5" w:rsidP="00FC2334">
      <w:pPr>
        <w:tabs>
          <w:tab w:val="left" w:pos="7088"/>
        </w:tabs>
        <w:rPr>
          <w:sz w:val="22"/>
          <w:szCs w:val="22"/>
          <w:lang w:val="en-US"/>
        </w:rPr>
      </w:pPr>
      <w:r w:rsidRPr="0067115D">
        <w:rPr>
          <w:sz w:val="22"/>
          <w:szCs w:val="22"/>
          <w:lang w:val="en-US"/>
        </w:rPr>
        <w:t>Jonathan Yeomans</w:t>
      </w:r>
      <w:r w:rsidR="0018220C" w:rsidRPr="0067115D">
        <w:rPr>
          <w:sz w:val="22"/>
          <w:szCs w:val="22"/>
          <w:lang w:val="en-US"/>
        </w:rPr>
        <w:tab/>
      </w:r>
      <w:r w:rsidR="005E2323" w:rsidRPr="0067115D">
        <w:rPr>
          <w:sz w:val="22"/>
          <w:szCs w:val="22"/>
          <w:lang w:val="en-US"/>
        </w:rPr>
        <w:t>Juaquín Cordero</w:t>
      </w:r>
      <w:r w:rsidR="005E2323" w:rsidRPr="0067115D">
        <w:rPr>
          <w:sz w:val="22"/>
          <w:szCs w:val="22"/>
          <w:lang w:val="en-US"/>
        </w:rPr>
        <w:tab/>
        <w:t>Ying Huang</w:t>
      </w:r>
      <w:r w:rsidR="00146754" w:rsidRPr="0067115D">
        <w:rPr>
          <w:sz w:val="22"/>
          <w:szCs w:val="22"/>
          <w:lang w:val="en-US"/>
        </w:rPr>
        <w:tab/>
      </w:r>
      <w:r w:rsidR="00146754" w:rsidRPr="0067115D">
        <w:rPr>
          <w:sz w:val="22"/>
          <w:szCs w:val="22"/>
          <w:lang w:val="en-US"/>
        </w:rPr>
        <w:tab/>
      </w:r>
    </w:p>
    <w:p w14:paraId="62ABFCAB" w14:textId="77777777" w:rsidR="00146754" w:rsidRPr="00DD7502" w:rsidRDefault="00146754" w:rsidP="00146754">
      <w:pPr>
        <w:tabs>
          <w:tab w:val="left" w:pos="1162"/>
          <w:tab w:val="left" w:pos="5074"/>
          <w:tab w:val="left" w:pos="5698"/>
        </w:tabs>
        <w:spacing w:line="480" w:lineRule="atLeast"/>
        <w:ind w:right="12"/>
        <w:rPr>
          <w:b/>
          <w:i/>
          <w:sz w:val="22"/>
          <w:szCs w:val="22"/>
          <w:lang w:val="es-ES_tradnl"/>
        </w:rPr>
      </w:pPr>
      <w:r w:rsidRPr="00DD7502">
        <w:rPr>
          <w:b/>
          <w:sz w:val="22"/>
          <w:szCs w:val="22"/>
          <w:lang w:val="es-ES_tradnl"/>
        </w:rPr>
        <w:t>Instrucciones Generales para Todas las Evaluaciones del Semestre:</w:t>
      </w:r>
    </w:p>
    <w:p w14:paraId="7B090DE6"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Antes de comenzar a responder la evaluación, </w:t>
      </w:r>
      <w:r w:rsidRPr="00DD7502">
        <w:rPr>
          <w:b/>
          <w:sz w:val="22"/>
          <w:szCs w:val="22"/>
          <w:u w:val="single"/>
          <w:lang w:val="es-ES_tradnl"/>
        </w:rPr>
        <w:t>debe</w:t>
      </w:r>
      <w:r w:rsidRPr="00DD7502">
        <w:rPr>
          <w:sz w:val="22"/>
          <w:szCs w:val="22"/>
          <w:lang w:val="es-ES_tradnl"/>
        </w:rPr>
        <w:t xml:space="preserve"> poner su nombre completo en</w:t>
      </w:r>
      <w:r w:rsidRPr="00DD7502">
        <w:rPr>
          <w:sz w:val="22"/>
          <w:szCs w:val="22"/>
          <w:u w:val="single"/>
          <w:lang w:val="es-ES_tradnl"/>
        </w:rPr>
        <w:t xml:space="preserve"> </w:t>
      </w:r>
      <w:r w:rsidRPr="00DD7502">
        <w:rPr>
          <w:b/>
          <w:sz w:val="22"/>
          <w:szCs w:val="22"/>
          <w:u w:val="single"/>
          <w:lang w:val="es-ES_tradnl"/>
        </w:rPr>
        <w:t xml:space="preserve">cada una </w:t>
      </w:r>
      <w:r w:rsidRPr="00DD7502">
        <w:rPr>
          <w:sz w:val="22"/>
          <w:szCs w:val="22"/>
          <w:lang w:val="es-ES_tradnl"/>
        </w:rPr>
        <w:t>de las hojas recibidas.</w:t>
      </w:r>
    </w:p>
    <w:p w14:paraId="25673255"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Al </w:t>
      </w:r>
      <w:r w:rsidRPr="00DD7502">
        <w:rPr>
          <w:b/>
          <w:sz w:val="22"/>
          <w:szCs w:val="22"/>
          <w:u w:val="single"/>
          <w:lang w:val="es-ES_tradnl"/>
        </w:rPr>
        <w:t>comenzar</w:t>
      </w:r>
      <w:r w:rsidRPr="00DD7502">
        <w:rPr>
          <w:sz w:val="22"/>
          <w:szCs w:val="22"/>
          <w:lang w:val="es-ES_tradnl"/>
        </w:rPr>
        <w:t xml:space="preserve"> a responder un Tema, </w:t>
      </w:r>
      <w:r w:rsidRPr="00DD7502">
        <w:rPr>
          <w:b/>
          <w:sz w:val="22"/>
          <w:szCs w:val="22"/>
          <w:u w:val="single"/>
          <w:lang w:val="es-ES_tradnl"/>
        </w:rPr>
        <w:t>debe</w:t>
      </w:r>
      <w:r w:rsidRPr="00DD7502">
        <w:rPr>
          <w:sz w:val="22"/>
          <w:szCs w:val="22"/>
          <w:lang w:val="es-ES_tradnl"/>
        </w:rPr>
        <w:t xml:space="preserve"> hacerlo en una nueva hoja (separada de las anteriores)</w:t>
      </w:r>
      <w:r w:rsidRPr="00DD7502">
        <w:rPr>
          <w:b/>
          <w:sz w:val="22"/>
          <w:szCs w:val="22"/>
          <w:lang w:val="es-ES_tradnl"/>
        </w:rPr>
        <w:t>.</w:t>
      </w:r>
    </w:p>
    <w:p w14:paraId="0302B170"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Durante la evaluación </w:t>
      </w:r>
      <w:r w:rsidRPr="00DD7502">
        <w:rPr>
          <w:b/>
          <w:sz w:val="22"/>
          <w:szCs w:val="22"/>
          <w:u w:val="single"/>
          <w:lang w:val="es-ES_tradnl"/>
        </w:rPr>
        <w:t>no debe</w:t>
      </w:r>
      <w:r w:rsidRPr="00DD7502">
        <w:rPr>
          <w:sz w:val="22"/>
          <w:szCs w:val="22"/>
          <w:lang w:val="es-ES_tradnl"/>
        </w:rPr>
        <w:t xml:space="preserve"> usar otras hojas que no sean las que usted ha recibido del Profesor.  Si el Profesor lo estima conveniente, autorizará el uso de alguna hoja extra; en este caso esta hoja también debe ser identificada con el nombre del alumno antes de comenzar a ser usada.</w:t>
      </w:r>
    </w:p>
    <w:p w14:paraId="195DBEE7"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r>
      <w:r w:rsidRPr="00DD7502">
        <w:rPr>
          <w:b/>
          <w:sz w:val="22"/>
          <w:szCs w:val="22"/>
          <w:u w:val="single"/>
          <w:lang w:val="es-ES_tradnl"/>
        </w:rPr>
        <w:t xml:space="preserve">No debe </w:t>
      </w:r>
      <w:r w:rsidRPr="00DD7502">
        <w:rPr>
          <w:sz w:val="22"/>
          <w:szCs w:val="22"/>
          <w:lang w:val="es-ES_tradnl"/>
        </w:rPr>
        <w:t>descorchetear lo que se le ha entregado corcheteado.</w:t>
      </w:r>
    </w:p>
    <w:p w14:paraId="3C7153A6"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Si su respuesta requiere de algún supuesto, </w:t>
      </w:r>
      <w:r w:rsidRPr="00DD7502">
        <w:rPr>
          <w:b/>
          <w:sz w:val="22"/>
          <w:szCs w:val="22"/>
          <w:u w:val="single"/>
          <w:lang w:val="es-ES_tradnl"/>
        </w:rPr>
        <w:t>debe</w:t>
      </w:r>
      <w:r w:rsidRPr="00DD7502">
        <w:rPr>
          <w:b/>
          <w:sz w:val="22"/>
          <w:szCs w:val="22"/>
          <w:lang w:val="es-ES_tradnl"/>
        </w:rPr>
        <w:t xml:space="preserve"> </w:t>
      </w:r>
      <w:r w:rsidRPr="00DD7502">
        <w:rPr>
          <w:sz w:val="22"/>
          <w:szCs w:val="22"/>
          <w:lang w:val="es-ES_tradnl"/>
        </w:rPr>
        <w:t>dejarlo explicitado.</w:t>
      </w:r>
    </w:p>
    <w:p w14:paraId="62A2ECD5"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r>
      <w:r w:rsidRPr="00DD7502">
        <w:rPr>
          <w:b/>
          <w:sz w:val="22"/>
          <w:szCs w:val="22"/>
          <w:lang w:val="es-ES_tradnl"/>
        </w:rPr>
        <w:t>Toda respuesta debe estar debidamente justificada</w:t>
      </w:r>
      <w:r w:rsidRPr="00DD7502">
        <w:rPr>
          <w:sz w:val="22"/>
          <w:szCs w:val="22"/>
          <w:lang w:val="es-ES_tradnl"/>
        </w:rPr>
        <w:t>. Aquellas respuestas que no cumplan con esta exigencia no serán consideradas aun cuando su resultado esté correcto.</w:t>
      </w:r>
    </w:p>
    <w:p w14:paraId="1F6485F1" w14:textId="77777777" w:rsidR="00146754" w:rsidRPr="00DD7502" w:rsidRDefault="00146754" w:rsidP="00146754">
      <w:pPr>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No se recorregirán respuestas en lápiz mina o lápiz pasta que se pueda borrar. Tampoco números enmendados.</w:t>
      </w:r>
      <w:r w:rsidRPr="00DD7502">
        <w:rPr>
          <w:b/>
          <w:sz w:val="22"/>
          <w:szCs w:val="22"/>
          <w:u w:val="single"/>
          <w:lang w:val="es-ES_tradnl"/>
        </w:rPr>
        <w:t xml:space="preserve"> </w:t>
      </w:r>
    </w:p>
    <w:p w14:paraId="6E732ADE" w14:textId="77777777" w:rsidR="00146754" w:rsidRPr="00DD7502" w:rsidRDefault="00146754" w:rsidP="00146754">
      <w:pPr>
        <w:tabs>
          <w:tab w:val="left" w:pos="5074"/>
          <w:tab w:val="left" w:pos="5698"/>
        </w:tabs>
        <w:spacing w:before="120"/>
        <w:ind w:left="284" w:right="11" w:hanging="284"/>
        <w:rPr>
          <w:sz w:val="22"/>
          <w:szCs w:val="22"/>
          <w:lang w:val="es-ES_tradnl"/>
        </w:rPr>
      </w:pPr>
      <w:r w:rsidRPr="00DD7502">
        <w:rPr>
          <w:sz w:val="22"/>
          <w:szCs w:val="22"/>
          <w:lang w:val="es-ES_tradnl"/>
        </w:rPr>
        <w:t>•</w:t>
      </w:r>
      <w:r w:rsidRPr="00DD7502">
        <w:rPr>
          <w:sz w:val="22"/>
          <w:szCs w:val="22"/>
          <w:lang w:val="es-ES_tradnl"/>
        </w:rPr>
        <w:tab/>
        <w:t xml:space="preserve">La sospecha de copia por parte del profesor y/o los ayudantes, durante la evaluación o en su corrección posterior, tiene como sanción </w:t>
      </w:r>
      <w:r w:rsidRPr="00DD7502">
        <w:rPr>
          <w:b/>
          <w:sz w:val="22"/>
          <w:szCs w:val="22"/>
          <w:u w:val="single"/>
          <w:lang w:val="es-ES_tradnl"/>
        </w:rPr>
        <w:t>mínima</w:t>
      </w:r>
      <w:r w:rsidRPr="00DD7502">
        <w:rPr>
          <w:b/>
          <w:sz w:val="22"/>
          <w:szCs w:val="22"/>
          <w:lang w:val="es-ES_tradnl"/>
        </w:rPr>
        <w:t xml:space="preserve"> </w:t>
      </w:r>
      <w:r w:rsidRPr="00DD7502">
        <w:rPr>
          <w:sz w:val="22"/>
          <w:szCs w:val="22"/>
          <w:lang w:val="es-ES_tradnl"/>
        </w:rPr>
        <w:t xml:space="preserve">una nota </w:t>
      </w:r>
      <w:r w:rsidRPr="00DD7502">
        <w:rPr>
          <w:b/>
          <w:sz w:val="22"/>
          <w:szCs w:val="22"/>
          <w:lang w:val="es-ES_tradnl"/>
        </w:rPr>
        <w:t xml:space="preserve">1.0 </w:t>
      </w:r>
      <w:r w:rsidRPr="00DD7502">
        <w:rPr>
          <w:sz w:val="22"/>
          <w:szCs w:val="22"/>
          <w:lang w:val="es-ES_tradnl"/>
        </w:rPr>
        <w:t xml:space="preserve">en la evaluación y un informe a la Dirección de la Escuela. </w:t>
      </w:r>
    </w:p>
    <w:p w14:paraId="534068F4" w14:textId="77777777" w:rsidR="00146754" w:rsidRPr="00DD7502" w:rsidRDefault="00146754" w:rsidP="00146754">
      <w:pPr>
        <w:tabs>
          <w:tab w:val="left" w:pos="5074"/>
          <w:tab w:val="left" w:pos="5698"/>
        </w:tabs>
        <w:spacing w:before="120"/>
        <w:ind w:right="11"/>
        <w:rPr>
          <w:b/>
          <w:sz w:val="20"/>
          <w:szCs w:val="20"/>
          <w:lang w:val="es-ES_tradnl"/>
        </w:rPr>
      </w:pPr>
    </w:p>
    <w:p w14:paraId="69073E77" w14:textId="77777777" w:rsidR="00730E08" w:rsidRPr="00DD7502" w:rsidRDefault="00146754" w:rsidP="00146754">
      <w:pPr>
        <w:tabs>
          <w:tab w:val="left" w:pos="5074"/>
          <w:tab w:val="left" w:pos="5698"/>
        </w:tabs>
        <w:spacing w:before="120"/>
        <w:ind w:right="11"/>
        <w:rPr>
          <w:b/>
          <w:lang w:val="es-ES"/>
        </w:rPr>
      </w:pPr>
      <w:r w:rsidRPr="00DD7502">
        <w:rPr>
          <w:b/>
          <w:noProof/>
          <w:lang w:val="en-US" w:eastAsia="en-US"/>
        </w:rPr>
        <mc:AlternateContent>
          <mc:Choice Requires="wps">
            <w:drawing>
              <wp:anchor distT="0" distB="0" distL="114300" distR="114300" simplePos="0" relativeHeight="251659264" behindDoc="0" locked="0" layoutInCell="1" allowOverlap="1" wp14:anchorId="61F7A47D" wp14:editId="746E2C65">
                <wp:simplePos x="0" y="0"/>
                <wp:positionH relativeFrom="column">
                  <wp:posOffset>-57785</wp:posOffset>
                </wp:positionH>
                <wp:positionV relativeFrom="paragraph">
                  <wp:posOffset>29210</wp:posOffset>
                </wp:positionV>
                <wp:extent cx="5743575" cy="419100"/>
                <wp:effectExtent l="0" t="0" r="28575" b="19050"/>
                <wp:wrapNone/>
                <wp:docPr id="1" name="1 Rectángulo"/>
                <wp:cNvGraphicFramePr/>
                <a:graphic xmlns:a="http://schemas.openxmlformats.org/drawingml/2006/main">
                  <a:graphicData uri="http://schemas.microsoft.com/office/word/2010/wordprocessingShape">
                    <wps:wsp>
                      <wps:cNvSpPr/>
                      <wps:spPr>
                        <a:xfrm>
                          <a:off x="0" y="0"/>
                          <a:ext cx="57435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6FDA4" id="1 Rectángulo" o:spid="_x0000_s1026" style="position:absolute;margin-left:-4.55pt;margin-top:2.3pt;width:452.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" filled="f" strokecolor="black [3213]" strokeweight="2pt"/>
            </w:pict>
          </mc:Fallback>
        </mc:AlternateContent>
      </w:r>
      <w:r w:rsidRPr="00DD7502">
        <w:rPr>
          <w:b/>
          <w:lang w:val="es-ES"/>
        </w:rPr>
        <w:t>Quien durante una evaluación tenga su celular en el bolsillo o a su alcance, será calificado con nota 1 en la evaluación, aun cuando éste se encuentre apagado.</w:t>
      </w:r>
    </w:p>
    <w:p w14:paraId="55F455AA" w14:textId="3D9D1D68" w:rsidR="00146754" w:rsidRPr="00645C33" w:rsidRDefault="005350C2" w:rsidP="00DE011B">
      <w:pPr>
        <w:jc w:val="both"/>
        <w:rPr>
          <w:b/>
          <w:sz w:val="22"/>
          <w:szCs w:val="22"/>
        </w:rPr>
      </w:pPr>
      <w:r>
        <w:rPr>
          <w:i/>
          <w:szCs w:val="20"/>
          <w:lang w:val="es-ES_tradnl"/>
        </w:rPr>
        <w:br w:type="page"/>
      </w:r>
      <w:r w:rsidR="00A8346C" w:rsidRPr="00645C33">
        <w:rPr>
          <w:b/>
          <w:sz w:val="22"/>
          <w:szCs w:val="22"/>
          <w:u w:val="single"/>
          <w:lang w:val="es-ES_tradnl"/>
        </w:rPr>
        <w:lastRenderedPageBreak/>
        <w:t>Pre</w:t>
      </w:r>
      <w:r w:rsidR="00146754" w:rsidRPr="00645C33">
        <w:rPr>
          <w:b/>
          <w:sz w:val="22"/>
          <w:szCs w:val="22"/>
          <w:u w:val="single"/>
        </w:rPr>
        <w:t>gunta 1</w:t>
      </w:r>
      <w:r w:rsidR="003C354C" w:rsidRPr="00645C33">
        <w:rPr>
          <w:b/>
          <w:sz w:val="22"/>
          <w:szCs w:val="22"/>
        </w:rPr>
        <w:tab/>
      </w:r>
      <w:r w:rsidR="00B260BB">
        <w:rPr>
          <w:b/>
          <w:sz w:val="22"/>
          <w:szCs w:val="22"/>
        </w:rPr>
        <w:t>16</w:t>
      </w:r>
      <w:r w:rsidR="00146754" w:rsidRPr="00645C33">
        <w:rPr>
          <w:b/>
          <w:sz w:val="22"/>
          <w:szCs w:val="22"/>
        </w:rPr>
        <w:t xml:space="preserve"> puntos</w:t>
      </w:r>
    </w:p>
    <w:p w14:paraId="0F1F7ABA" w14:textId="77777777" w:rsidR="00DE011B" w:rsidRPr="00645C33" w:rsidRDefault="00DE011B" w:rsidP="00DE011B">
      <w:pPr>
        <w:jc w:val="both"/>
        <w:rPr>
          <w:b/>
          <w:sz w:val="22"/>
          <w:szCs w:val="22"/>
        </w:rPr>
      </w:pPr>
    </w:p>
    <w:p w14:paraId="2B338687" w14:textId="18AAE1C5" w:rsidR="007E7C3E" w:rsidRPr="00645C33" w:rsidRDefault="007E7C3E" w:rsidP="00DE011B">
      <w:pPr>
        <w:jc w:val="both"/>
        <w:rPr>
          <w:sz w:val="22"/>
          <w:szCs w:val="22"/>
        </w:rPr>
      </w:pPr>
      <w:r w:rsidRPr="00645C33">
        <w:rPr>
          <w:sz w:val="22"/>
          <w:szCs w:val="22"/>
        </w:rPr>
        <w:t>Un fabricante de alimentos y bebid</w:t>
      </w:r>
      <w:r w:rsidRPr="00645C33">
        <w:rPr>
          <w:sz w:val="22"/>
          <w:szCs w:val="22"/>
        </w:rPr>
        <w:t>as tiene los siguientes</w:t>
      </w:r>
      <w:r w:rsidRPr="00645C33">
        <w:rPr>
          <w:sz w:val="22"/>
          <w:szCs w:val="22"/>
        </w:rPr>
        <w:t xml:space="preserve"> segmentos operativos. Los segmentos son:</w:t>
      </w:r>
    </w:p>
    <w:p w14:paraId="45B3DFCD" w14:textId="77777777" w:rsidR="00DE011B" w:rsidRPr="00645C33" w:rsidRDefault="00DE011B" w:rsidP="00DE011B">
      <w:pPr>
        <w:jc w:val="both"/>
        <w:rPr>
          <w:sz w:val="22"/>
          <w:szCs w:val="22"/>
        </w:rPr>
      </w:pPr>
    </w:p>
    <w:p w14:paraId="72BCA2BC" w14:textId="4F81B9DF" w:rsidR="007E7C3E" w:rsidRPr="00645C33" w:rsidRDefault="007E7C3E" w:rsidP="00DE011B">
      <w:pPr>
        <w:pStyle w:val="ListParagraph"/>
        <w:numPr>
          <w:ilvl w:val="1"/>
          <w:numId w:val="18"/>
        </w:numPr>
        <w:spacing w:after="0" w:line="240" w:lineRule="auto"/>
        <w:jc w:val="both"/>
        <w:rPr>
          <w:rFonts w:ascii="Times New Roman" w:hAnsi="Times New Roman"/>
          <w:lang w:val="es-CL"/>
        </w:rPr>
      </w:pPr>
      <w:r w:rsidRPr="00645C33">
        <w:rPr>
          <w:rFonts w:ascii="Times New Roman" w:hAnsi="Times New Roman"/>
          <w:lang w:val="es-CL"/>
        </w:rPr>
        <w:t>dulces y chocolates</w:t>
      </w:r>
      <w:r w:rsidRPr="00645C33">
        <w:rPr>
          <w:rFonts w:ascii="Times New Roman" w:hAnsi="Times New Roman"/>
          <w:lang w:val="es-CL"/>
        </w:rPr>
        <w:t xml:space="preserve"> (aprox. 22</w:t>
      </w:r>
      <w:r w:rsidRPr="00645C33">
        <w:rPr>
          <w:rFonts w:ascii="Times New Roman" w:hAnsi="Times New Roman"/>
          <w:lang w:val="es-CL"/>
        </w:rPr>
        <w:t>% de los ingresos);</w:t>
      </w:r>
    </w:p>
    <w:p w14:paraId="49BC0141" w14:textId="259B3938" w:rsidR="007E7C3E" w:rsidRPr="00645C33" w:rsidRDefault="007E7C3E" w:rsidP="00DE011B">
      <w:pPr>
        <w:pStyle w:val="ListParagraph"/>
        <w:numPr>
          <w:ilvl w:val="1"/>
          <w:numId w:val="18"/>
        </w:numPr>
        <w:spacing w:after="0" w:line="240" w:lineRule="auto"/>
        <w:jc w:val="both"/>
        <w:rPr>
          <w:rFonts w:ascii="Times New Roman" w:hAnsi="Times New Roman"/>
          <w:lang w:val="es-CL"/>
        </w:rPr>
      </w:pPr>
      <w:r w:rsidRPr="00645C33">
        <w:rPr>
          <w:rFonts w:ascii="Times New Roman" w:hAnsi="Times New Roman"/>
          <w:lang w:val="es-CL"/>
        </w:rPr>
        <w:t>bebidas azucaradas</w:t>
      </w:r>
      <w:r w:rsidRPr="00645C33">
        <w:rPr>
          <w:rFonts w:ascii="Times New Roman" w:hAnsi="Times New Roman"/>
          <w:lang w:val="es-CL"/>
        </w:rPr>
        <w:t xml:space="preserve"> (aprox. 29</w:t>
      </w:r>
      <w:r w:rsidRPr="00645C33">
        <w:rPr>
          <w:rFonts w:ascii="Times New Roman" w:hAnsi="Times New Roman"/>
          <w:lang w:val="es-CL"/>
        </w:rPr>
        <w:t>% de los ingresos);</w:t>
      </w:r>
    </w:p>
    <w:p w14:paraId="4C88F74D" w14:textId="71467C5F" w:rsidR="007E7C3E" w:rsidRPr="00645C33" w:rsidRDefault="007E7C3E" w:rsidP="00DE011B">
      <w:pPr>
        <w:pStyle w:val="ListParagraph"/>
        <w:numPr>
          <w:ilvl w:val="1"/>
          <w:numId w:val="18"/>
        </w:numPr>
        <w:spacing w:after="0" w:line="240" w:lineRule="auto"/>
        <w:jc w:val="both"/>
        <w:rPr>
          <w:rFonts w:ascii="Times New Roman" w:hAnsi="Times New Roman"/>
          <w:lang w:val="es-CL"/>
        </w:rPr>
      </w:pPr>
      <w:r w:rsidRPr="00645C33">
        <w:rPr>
          <w:rFonts w:ascii="Times New Roman" w:hAnsi="Times New Roman"/>
          <w:lang w:val="es-CL"/>
        </w:rPr>
        <w:t>pan y tortas</w:t>
      </w:r>
      <w:r w:rsidRPr="00645C33">
        <w:rPr>
          <w:rFonts w:ascii="Times New Roman" w:hAnsi="Times New Roman"/>
          <w:lang w:val="es-CL"/>
        </w:rPr>
        <w:t xml:space="preserve"> (aprox. 29</w:t>
      </w:r>
      <w:r w:rsidRPr="00645C33">
        <w:rPr>
          <w:rFonts w:ascii="Times New Roman" w:hAnsi="Times New Roman"/>
          <w:lang w:val="es-CL"/>
        </w:rPr>
        <w:t>% de los ingresos)</w:t>
      </w:r>
      <w:r w:rsidRPr="00645C33">
        <w:rPr>
          <w:rFonts w:ascii="Times New Roman" w:hAnsi="Times New Roman"/>
          <w:lang w:val="es-CL"/>
        </w:rPr>
        <w:t>;</w:t>
      </w:r>
    </w:p>
    <w:p w14:paraId="3C454E2A" w14:textId="6115E247" w:rsidR="007E7C3E" w:rsidRPr="00645C33" w:rsidRDefault="007E7C3E" w:rsidP="00DE011B">
      <w:pPr>
        <w:pStyle w:val="ListParagraph"/>
        <w:numPr>
          <w:ilvl w:val="1"/>
          <w:numId w:val="18"/>
        </w:numPr>
        <w:spacing w:after="0" w:line="240" w:lineRule="auto"/>
        <w:jc w:val="both"/>
        <w:rPr>
          <w:rFonts w:ascii="Times New Roman" w:hAnsi="Times New Roman"/>
          <w:lang w:val="es-CL"/>
        </w:rPr>
      </w:pPr>
      <w:r w:rsidRPr="00645C33">
        <w:rPr>
          <w:rFonts w:ascii="Times New Roman" w:hAnsi="Times New Roman"/>
          <w:lang w:val="es-CL"/>
        </w:rPr>
        <w:t>queques (aprox. 11% de los ingresos); y</w:t>
      </w:r>
    </w:p>
    <w:p w14:paraId="1C8CD00A" w14:textId="7B76D60E" w:rsidR="007E7C3E" w:rsidRPr="00645C33" w:rsidRDefault="007E7C3E" w:rsidP="00DE011B">
      <w:pPr>
        <w:pStyle w:val="ListParagraph"/>
        <w:numPr>
          <w:ilvl w:val="1"/>
          <w:numId w:val="18"/>
        </w:numPr>
        <w:spacing w:after="0" w:line="240" w:lineRule="auto"/>
        <w:jc w:val="both"/>
        <w:rPr>
          <w:rFonts w:ascii="Times New Roman" w:hAnsi="Times New Roman"/>
          <w:lang w:val="es-CL"/>
        </w:rPr>
      </w:pPr>
      <w:r w:rsidRPr="00645C33">
        <w:rPr>
          <w:rFonts w:ascii="Times New Roman" w:hAnsi="Times New Roman"/>
          <w:lang w:val="es-CL"/>
        </w:rPr>
        <w:t>inmobiliario (aprox. 9% de los ingresos)</w:t>
      </w:r>
    </w:p>
    <w:p w14:paraId="209D9816" w14:textId="77777777" w:rsidR="00DE011B" w:rsidRPr="00645C33" w:rsidRDefault="00DE011B" w:rsidP="00DE011B">
      <w:pPr>
        <w:jc w:val="both"/>
        <w:rPr>
          <w:sz w:val="22"/>
          <w:szCs w:val="22"/>
        </w:rPr>
      </w:pPr>
    </w:p>
    <w:p w14:paraId="3D8412E6" w14:textId="0B6D9275" w:rsidR="007E7C3E" w:rsidRPr="00645C33" w:rsidRDefault="007E7C3E" w:rsidP="00DE011B">
      <w:pPr>
        <w:jc w:val="both"/>
        <w:rPr>
          <w:sz w:val="22"/>
          <w:szCs w:val="22"/>
        </w:rPr>
      </w:pPr>
      <w:r w:rsidRPr="00645C33">
        <w:rPr>
          <w:sz w:val="22"/>
          <w:szCs w:val="22"/>
        </w:rPr>
        <w:t>Sus principales clientes son l</w:t>
      </w:r>
      <w:r w:rsidRPr="00645C33">
        <w:rPr>
          <w:sz w:val="22"/>
          <w:szCs w:val="22"/>
        </w:rPr>
        <w:t>os supermercados, en donde un 16% de sus ventas son a Walmart, 8% a Cencosud y 7</w:t>
      </w:r>
      <w:r w:rsidRPr="00645C33">
        <w:rPr>
          <w:sz w:val="22"/>
          <w:szCs w:val="22"/>
        </w:rPr>
        <w:t>% a SMU. El resto de sus clientes son supermercados de menor tamaño, panaderías, botillerías y otros comercios, y que están atomizados. Sus ventas son todas en Chile, teniendo una cobertura desde la cuarta a la décima región. Internamente, hay un gerente a cargo de cada región. Existe una plant</w:t>
      </w:r>
      <w:r w:rsidRPr="00645C33">
        <w:rPr>
          <w:sz w:val="22"/>
          <w:szCs w:val="22"/>
        </w:rPr>
        <w:t>a productiva para cada segmento, excepto por el área inmobiliaria que corresponde a 1 edificio de oficinas y que tiene su propio gerente a cargo.</w:t>
      </w:r>
    </w:p>
    <w:p w14:paraId="0D87620F" w14:textId="77777777" w:rsidR="007E7C3E" w:rsidRPr="00645C33" w:rsidRDefault="007E7C3E" w:rsidP="00DE011B">
      <w:pPr>
        <w:jc w:val="both"/>
        <w:rPr>
          <w:sz w:val="22"/>
          <w:szCs w:val="22"/>
        </w:rPr>
      </w:pPr>
    </w:p>
    <w:p w14:paraId="0ED5D7CD" w14:textId="77777777" w:rsidR="007E7C3E" w:rsidRPr="00645C33" w:rsidRDefault="007E7C3E" w:rsidP="00DE011B">
      <w:pPr>
        <w:jc w:val="both"/>
        <w:rPr>
          <w:b/>
          <w:sz w:val="22"/>
          <w:szCs w:val="22"/>
          <w:u w:val="single"/>
        </w:rPr>
      </w:pPr>
      <w:r w:rsidRPr="00645C33">
        <w:rPr>
          <w:b/>
          <w:sz w:val="22"/>
          <w:szCs w:val="22"/>
          <w:u w:val="single"/>
        </w:rPr>
        <w:t>Preguntas:</w:t>
      </w:r>
    </w:p>
    <w:p w14:paraId="1DC99C10" w14:textId="77777777" w:rsidR="007E7C3E" w:rsidRPr="00645C33" w:rsidRDefault="007E7C3E" w:rsidP="00DE011B">
      <w:pPr>
        <w:jc w:val="both"/>
        <w:rPr>
          <w:b/>
          <w:sz w:val="22"/>
          <w:szCs w:val="22"/>
          <w:u w:val="single"/>
        </w:rPr>
      </w:pPr>
    </w:p>
    <w:p w14:paraId="0859E489" w14:textId="2F83D441" w:rsidR="007E7C3E" w:rsidRPr="00645C33" w:rsidRDefault="00B260BB" w:rsidP="00DE011B">
      <w:pPr>
        <w:pStyle w:val="ListParagraph"/>
        <w:numPr>
          <w:ilvl w:val="0"/>
          <w:numId w:val="19"/>
        </w:numPr>
        <w:spacing w:after="0" w:line="240" w:lineRule="auto"/>
        <w:jc w:val="both"/>
        <w:rPr>
          <w:rFonts w:ascii="Times New Roman" w:hAnsi="Times New Roman"/>
          <w:lang w:val="es-CL"/>
        </w:rPr>
      </w:pPr>
      <w:r>
        <w:rPr>
          <w:rFonts w:ascii="Times New Roman" w:hAnsi="Times New Roman"/>
          <w:b/>
          <w:lang w:val="es-CL"/>
        </w:rPr>
        <w:t>(4</w:t>
      </w:r>
      <w:r w:rsidR="00DE011B" w:rsidRPr="00645C33">
        <w:rPr>
          <w:rFonts w:ascii="Times New Roman" w:hAnsi="Times New Roman"/>
          <w:b/>
          <w:lang w:val="es-CL"/>
        </w:rPr>
        <w:t xml:space="preserve"> puntos)</w:t>
      </w:r>
      <w:r w:rsidR="00DE011B" w:rsidRPr="00645C33">
        <w:rPr>
          <w:rFonts w:ascii="Times New Roman" w:hAnsi="Times New Roman"/>
          <w:lang w:val="es-CL"/>
        </w:rPr>
        <w:t xml:space="preserve"> </w:t>
      </w:r>
      <w:r w:rsidR="007E7C3E" w:rsidRPr="00645C33">
        <w:rPr>
          <w:rFonts w:ascii="Times New Roman" w:hAnsi="Times New Roman"/>
          <w:lang w:val="es-CL"/>
        </w:rPr>
        <w:t>El fabricante presenta en su nota de segmentos los 3 primeros segmentos. Los otros 2 los combina en un “Otros”. Lo anterior, dado que con los 3 primeros ya ha logrado presentar un 75% de los ingresos, cumpliendo así con la norma. Comente.</w:t>
      </w:r>
    </w:p>
    <w:p w14:paraId="0788FADB" w14:textId="77777777" w:rsidR="007E7C3E" w:rsidRPr="00645C33" w:rsidRDefault="007E7C3E" w:rsidP="00DE011B">
      <w:pPr>
        <w:pStyle w:val="ListParagraph"/>
        <w:spacing w:after="0" w:line="240" w:lineRule="auto"/>
        <w:jc w:val="both"/>
        <w:rPr>
          <w:rFonts w:ascii="Times New Roman" w:hAnsi="Times New Roman"/>
          <w:color w:val="4F81BD" w:themeColor="accent1"/>
          <w:lang w:val="es-CL"/>
        </w:rPr>
      </w:pPr>
    </w:p>
    <w:p w14:paraId="2D0C53F7" w14:textId="7A706D52" w:rsidR="007E7C3E" w:rsidRPr="00645C33" w:rsidRDefault="007E7C3E" w:rsidP="00DE011B">
      <w:pPr>
        <w:pStyle w:val="ListParagraph"/>
        <w:spacing w:after="0" w:line="240" w:lineRule="auto"/>
        <w:jc w:val="both"/>
        <w:rPr>
          <w:rFonts w:ascii="Times New Roman" w:hAnsi="Times New Roman"/>
          <w:color w:val="4F81BD" w:themeColor="accent1"/>
          <w:lang w:val="es-CL"/>
        </w:rPr>
      </w:pPr>
      <w:r w:rsidRPr="00645C33">
        <w:rPr>
          <w:rFonts w:ascii="Times New Roman" w:hAnsi="Times New Roman"/>
          <w:color w:val="4F81BD" w:themeColor="accent1"/>
          <w:lang w:val="es-CL"/>
        </w:rPr>
        <w:t>Respuesta: Eso es incorrecto ya que el cuarto segmento tiene más de un 10% de los ingresos por lo que debe ser presentado al cumplir con una de las métricas cuantitativas.</w:t>
      </w:r>
    </w:p>
    <w:p w14:paraId="4CFDEB3E" w14:textId="77777777" w:rsidR="007E7C3E" w:rsidRPr="00645C33" w:rsidRDefault="007E7C3E" w:rsidP="00DE011B">
      <w:pPr>
        <w:pStyle w:val="ListParagraph"/>
        <w:spacing w:after="0" w:line="240" w:lineRule="auto"/>
        <w:jc w:val="both"/>
        <w:rPr>
          <w:rFonts w:ascii="Times New Roman" w:hAnsi="Times New Roman"/>
          <w:color w:val="4F81BD" w:themeColor="accent1"/>
          <w:lang w:val="es-CL"/>
        </w:rPr>
      </w:pPr>
    </w:p>
    <w:p w14:paraId="3CC48992" w14:textId="17168D1B" w:rsidR="007E7C3E" w:rsidRPr="00645C33" w:rsidRDefault="00B260BB" w:rsidP="00DE011B">
      <w:pPr>
        <w:pStyle w:val="ListParagraph"/>
        <w:numPr>
          <w:ilvl w:val="0"/>
          <w:numId w:val="19"/>
        </w:numPr>
        <w:spacing w:after="0" w:line="240" w:lineRule="auto"/>
        <w:jc w:val="both"/>
        <w:rPr>
          <w:rFonts w:ascii="Times New Roman" w:hAnsi="Times New Roman"/>
          <w:lang w:val="es-CL"/>
        </w:rPr>
      </w:pPr>
      <w:r>
        <w:rPr>
          <w:rFonts w:ascii="Times New Roman" w:hAnsi="Times New Roman"/>
          <w:b/>
          <w:lang w:val="es-CL"/>
        </w:rPr>
        <w:t>(4</w:t>
      </w:r>
      <w:r w:rsidR="00DE011B" w:rsidRPr="00645C33">
        <w:rPr>
          <w:rFonts w:ascii="Times New Roman" w:hAnsi="Times New Roman"/>
          <w:b/>
          <w:lang w:val="es-CL"/>
        </w:rPr>
        <w:t xml:space="preserve"> puntos)</w:t>
      </w:r>
      <w:r w:rsidR="00DE011B" w:rsidRPr="00645C33">
        <w:rPr>
          <w:rFonts w:ascii="Times New Roman" w:hAnsi="Times New Roman"/>
          <w:b/>
          <w:lang w:val="es-CL"/>
        </w:rPr>
        <w:t xml:space="preserve"> </w:t>
      </w:r>
      <w:r w:rsidR="007E7C3E" w:rsidRPr="00645C33">
        <w:rPr>
          <w:rFonts w:ascii="Times New Roman" w:hAnsi="Times New Roman"/>
          <w:lang w:val="es-CL"/>
        </w:rPr>
        <w:t>El fabricante incluye la siguiente información en su nota de segmentos para cada uno de los 3 segmento</w:t>
      </w:r>
      <w:r w:rsidR="00934D76" w:rsidRPr="00645C33">
        <w:rPr>
          <w:rFonts w:ascii="Times New Roman" w:hAnsi="Times New Roman"/>
          <w:lang w:val="es-CL"/>
        </w:rPr>
        <w:t>s descritos: ingresos totales</w:t>
      </w:r>
      <w:r w:rsidR="007E7C3E" w:rsidRPr="00645C33">
        <w:rPr>
          <w:rFonts w:ascii="Times New Roman" w:hAnsi="Times New Roman"/>
          <w:lang w:val="es-CL"/>
        </w:rPr>
        <w:t xml:space="preserve">, ingresos y costos financieros, depreciación </w:t>
      </w:r>
      <w:r w:rsidR="00934D76" w:rsidRPr="00645C33">
        <w:rPr>
          <w:rFonts w:ascii="Times New Roman" w:hAnsi="Times New Roman"/>
          <w:lang w:val="es-CL"/>
        </w:rPr>
        <w:t>y amortización, activos totales y</w:t>
      </w:r>
      <w:r w:rsidR="007E7C3E" w:rsidRPr="00645C33">
        <w:rPr>
          <w:rFonts w:ascii="Times New Roman" w:hAnsi="Times New Roman"/>
          <w:lang w:val="es-CL"/>
        </w:rPr>
        <w:t xml:space="preserve"> pasivos totales. No hay otras revelaciones en la nota de segmentos o sus complementos. ¿Está usted de acuerdo con esa revelación? Justifique su respuesta.</w:t>
      </w:r>
    </w:p>
    <w:p w14:paraId="5ADE856C" w14:textId="77777777" w:rsidR="007E7C3E" w:rsidRPr="00645C33" w:rsidRDefault="007E7C3E" w:rsidP="00DE011B">
      <w:pPr>
        <w:pStyle w:val="ListParagraph"/>
        <w:spacing w:after="0" w:line="240" w:lineRule="auto"/>
        <w:jc w:val="both"/>
        <w:rPr>
          <w:rFonts w:ascii="Times New Roman" w:hAnsi="Times New Roman"/>
          <w:color w:val="4F81BD" w:themeColor="accent1"/>
          <w:lang w:val="es-CL"/>
        </w:rPr>
      </w:pPr>
    </w:p>
    <w:p w14:paraId="25B162D8" w14:textId="30CB3DF6" w:rsidR="007E7C3E" w:rsidRPr="00645C33" w:rsidRDefault="007E7C3E" w:rsidP="00DE011B">
      <w:pPr>
        <w:pStyle w:val="ListParagraph"/>
        <w:spacing w:after="0" w:line="240" w:lineRule="auto"/>
        <w:jc w:val="both"/>
        <w:rPr>
          <w:rFonts w:ascii="Times New Roman" w:hAnsi="Times New Roman"/>
          <w:color w:val="4F81BD" w:themeColor="accent1"/>
          <w:lang w:val="es-CL"/>
        </w:rPr>
      </w:pPr>
      <w:r w:rsidRPr="00645C33">
        <w:rPr>
          <w:rFonts w:ascii="Times New Roman" w:hAnsi="Times New Roman"/>
          <w:color w:val="4F81BD" w:themeColor="accent1"/>
          <w:lang w:val="es-CL"/>
        </w:rPr>
        <w:t xml:space="preserve">Respuesta: Sí, pero </w:t>
      </w:r>
      <w:r w:rsidR="00934D76" w:rsidRPr="00645C33">
        <w:rPr>
          <w:rFonts w:ascii="Times New Roman" w:hAnsi="Times New Roman"/>
          <w:color w:val="4F81BD" w:themeColor="accent1"/>
          <w:lang w:val="es-CL"/>
        </w:rPr>
        <w:t xml:space="preserve">debe separar los ingresos entre terceros e intersegmentos, incorporar </w:t>
      </w:r>
      <w:r w:rsidRPr="00645C33">
        <w:rPr>
          <w:rFonts w:ascii="Times New Roman" w:hAnsi="Times New Roman"/>
          <w:color w:val="4F81BD" w:themeColor="accent1"/>
          <w:lang w:val="es-CL"/>
        </w:rPr>
        <w:t>algún tipo de resultado (resultado neto, EBITDA o similar)</w:t>
      </w:r>
      <w:r w:rsidR="00934D76" w:rsidRPr="00645C33">
        <w:rPr>
          <w:rFonts w:ascii="Times New Roman" w:hAnsi="Times New Roman"/>
          <w:color w:val="4F81BD" w:themeColor="accent1"/>
          <w:lang w:val="es-CL"/>
        </w:rPr>
        <w:t xml:space="preserve"> y la inversión en activos no corrientes por segmentos</w:t>
      </w:r>
      <w:r w:rsidRPr="00645C33">
        <w:rPr>
          <w:rFonts w:ascii="Times New Roman" w:hAnsi="Times New Roman"/>
          <w:color w:val="4F81BD" w:themeColor="accent1"/>
          <w:lang w:val="es-CL"/>
        </w:rPr>
        <w:t>, revelar que hay un cliente que representa más del 10% de los ingresos consolidados, y la revelación por área geográfica.</w:t>
      </w:r>
    </w:p>
    <w:p w14:paraId="2129AD72" w14:textId="77777777" w:rsidR="007E7C3E" w:rsidRPr="00645C33" w:rsidRDefault="007E7C3E" w:rsidP="00DE011B">
      <w:pPr>
        <w:pStyle w:val="ListParagraph"/>
        <w:spacing w:after="0" w:line="240" w:lineRule="auto"/>
        <w:jc w:val="both"/>
        <w:rPr>
          <w:rFonts w:ascii="Times New Roman" w:hAnsi="Times New Roman"/>
          <w:color w:val="4F81BD" w:themeColor="accent1"/>
          <w:lang w:val="es-CL"/>
        </w:rPr>
      </w:pPr>
    </w:p>
    <w:p w14:paraId="0014DE56" w14:textId="6701526E" w:rsidR="00934D76" w:rsidRPr="00645C33" w:rsidRDefault="00B260BB" w:rsidP="00DE011B">
      <w:pPr>
        <w:pStyle w:val="ListParagraph"/>
        <w:numPr>
          <w:ilvl w:val="0"/>
          <w:numId w:val="19"/>
        </w:numPr>
        <w:spacing w:after="0" w:line="240" w:lineRule="auto"/>
        <w:jc w:val="both"/>
        <w:rPr>
          <w:rFonts w:ascii="Times New Roman" w:hAnsi="Times New Roman"/>
          <w:lang w:val="es-CL"/>
        </w:rPr>
      </w:pPr>
      <w:r>
        <w:rPr>
          <w:rFonts w:ascii="Times New Roman" w:hAnsi="Times New Roman"/>
          <w:b/>
          <w:lang w:val="es-CL"/>
        </w:rPr>
        <w:t>(4</w:t>
      </w:r>
      <w:r w:rsidR="00DE011B" w:rsidRPr="00645C33">
        <w:rPr>
          <w:rFonts w:ascii="Times New Roman" w:hAnsi="Times New Roman"/>
          <w:b/>
          <w:lang w:val="es-CL"/>
        </w:rPr>
        <w:t xml:space="preserve"> puntos)</w:t>
      </w:r>
      <w:r w:rsidR="00DE011B" w:rsidRPr="00645C33">
        <w:rPr>
          <w:rFonts w:ascii="Times New Roman" w:hAnsi="Times New Roman"/>
          <w:b/>
          <w:lang w:val="es-CL"/>
        </w:rPr>
        <w:t xml:space="preserve"> </w:t>
      </w:r>
      <w:r w:rsidR="00193724" w:rsidRPr="00645C33">
        <w:rPr>
          <w:rFonts w:ascii="Times New Roman" w:hAnsi="Times New Roman"/>
          <w:lang w:val="es-CL"/>
        </w:rPr>
        <w:t>Al cierre del año 2016, el gerente general instruyó al contador a incluir el quinto segmento dentro de las revelaciones por segmento dado que le parece una información importante para el lector considerando que es un rubro diferente al resto. El contador le explicó al gerente general que eso no era correcto ya que el quinto segmento no cumplía con los límites cuantitativos de 10% de los ingresos así como tampoco del 10% del resultado o activos, además de que ya se cumplía con el mínimo de 75% de los ingresos presentados en otros segmentos. ¿Quién tiene la razón?</w:t>
      </w:r>
    </w:p>
    <w:p w14:paraId="2CD7A5B8" w14:textId="77777777" w:rsidR="00193724" w:rsidRPr="00645C33" w:rsidRDefault="00193724" w:rsidP="00DE011B">
      <w:pPr>
        <w:pStyle w:val="ListParagraph"/>
        <w:spacing w:after="0" w:line="240" w:lineRule="auto"/>
        <w:jc w:val="both"/>
        <w:rPr>
          <w:rFonts w:ascii="Times New Roman" w:hAnsi="Times New Roman"/>
          <w:color w:val="4F81BD" w:themeColor="accent1"/>
          <w:lang w:val="es-CL"/>
        </w:rPr>
      </w:pPr>
    </w:p>
    <w:p w14:paraId="5E9A9C92" w14:textId="4E1AFA70" w:rsidR="0090386D" w:rsidRPr="00645C33" w:rsidRDefault="00193724" w:rsidP="00DE011B">
      <w:pPr>
        <w:pStyle w:val="ListParagraph"/>
        <w:spacing w:after="0" w:line="240" w:lineRule="auto"/>
        <w:jc w:val="both"/>
        <w:rPr>
          <w:rFonts w:ascii="Times New Roman" w:hAnsi="Times New Roman"/>
          <w:color w:val="4F81BD" w:themeColor="accent1"/>
          <w:lang w:val="es-CL"/>
        </w:rPr>
      </w:pPr>
      <w:r w:rsidRPr="00645C33">
        <w:rPr>
          <w:rFonts w:ascii="Times New Roman" w:hAnsi="Times New Roman"/>
          <w:color w:val="4F81BD" w:themeColor="accent1"/>
          <w:lang w:val="es-CL"/>
        </w:rPr>
        <w:t>Respuesta: el gerente general. Esto porque es un segmento (al tener información discreta y se considerado como tal) y la Administración puede elegir incluirlo aun cuando no cumpla los límites cuantitativos si es que considera que es información relevante para el lector.</w:t>
      </w:r>
    </w:p>
    <w:p w14:paraId="7C068AA1" w14:textId="77777777" w:rsidR="0090386D" w:rsidRPr="00645C33" w:rsidRDefault="0090386D" w:rsidP="00DE011B">
      <w:pPr>
        <w:pStyle w:val="ListParagraph"/>
        <w:spacing w:after="0" w:line="240" w:lineRule="auto"/>
        <w:jc w:val="both"/>
        <w:rPr>
          <w:rFonts w:ascii="Times New Roman" w:hAnsi="Times New Roman"/>
          <w:lang w:val="es-CL"/>
        </w:rPr>
      </w:pPr>
    </w:p>
    <w:p w14:paraId="22012A91" w14:textId="5A23E931" w:rsidR="0090386D" w:rsidRPr="00645C33" w:rsidRDefault="00B260BB" w:rsidP="00DE011B">
      <w:pPr>
        <w:pStyle w:val="ListParagraph"/>
        <w:numPr>
          <w:ilvl w:val="0"/>
          <w:numId w:val="19"/>
        </w:numPr>
        <w:spacing w:after="0" w:line="240" w:lineRule="auto"/>
        <w:jc w:val="both"/>
        <w:rPr>
          <w:rFonts w:ascii="Times New Roman" w:hAnsi="Times New Roman"/>
          <w:lang w:val="es-CL"/>
        </w:rPr>
      </w:pPr>
      <w:r>
        <w:rPr>
          <w:rFonts w:ascii="Times New Roman" w:hAnsi="Times New Roman"/>
          <w:b/>
          <w:lang w:val="es-CL"/>
        </w:rPr>
        <w:t>(4</w:t>
      </w:r>
      <w:r w:rsidR="00DE011B" w:rsidRPr="00645C33">
        <w:rPr>
          <w:rFonts w:ascii="Times New Roman" w:hAnsi="Times New Roman"/>
          <w:b/>
          <w:lang w:val="es-CL"/>
        </w:rPr>
        <w:t xml:space="preserve"> puntos)</w:t>
      </w:r>
      <w:r w:rsidR="00DE011B" w:rsidRPr="00645C33">
        <w:rPr>
          <w:rFonts w:ascii="Times New Roman" w:hAnsi="Times New Roman"/>
          <w:b/>
          <w:lang w:val="es-CL"/>
        </w:rPr>
        <w:t xml:space="preserve"> </w:t>
      </w:r>
      <w:r w:rsidR="00595E9F" w:rsidRPr="00645C33">
        <w:rPr>
          <w:rFonts w:ascii="Times New Roman" w:hAnsi="Times New Roman"/>
          <w:lang w:val="es-CL"/>
        </w:rPr>
        <w:t xml:space="preserve">Suponga que las oficinas administrativas de las fábricas de los primeros 3 segmentos están en el edificio que administra el gerente del quinto segmento y que por ello </w:t>
      </w:r>
      <w:r w:rsidR="00595E9F" w:rsidRPr="00645C33">
        <w:rPr>
          <w:rFonts w:ascii="Times New Roman" w:hAnsi="Times New Roman"/>
          <w:lang w:val="es-CL"/>
        </w:rPr>
        <w:lastRenderedPageBreak/>
        <w:t xml:space="preserve">se les cobra un arriendo. Al cierre del año 2016, el gerente a cargo del área inmobiliario expresó su preocupación ya que al mirar los costos y gastos de los primeros 3 segmentos </w:t>
      </w:r>
      <w:r w:rsidR="00A31868" w:rsidRPr="00645C33">
        <w:rPr>
          <w:rFonts w:ascii="Times New Roman" w:hAnsi="Times New Roman"/>
          <w:lang w:val="es-CL"/>
        </w:rPr>
        <w:t xml:space="preserve">en la nota de segmentos </w:t>
      </w:r>
      <w:r w:rsidR="00595E9F" w:rsidRPr="00645C33">
        <w:rPr>
          <w:rFonts w:ascii="Times New Roman" w:hAnsi="Times New Roman"/>
          <w:lang w:val="es-CL"/>
        </w:rPr>
        <w:t>veía que no se incluían los costos de arriendo que ellos le pagaban a él. Consulta</w:t>
      </w:r>
      <w:r w:rsidR="00A31868" w:rsidRPr="00645C33">
        <w:rPr>
          <w:rFonts w:ascii="Times New Roman" w:hAnsi="Times New Roman"/>
          <w:lang w:val="es-CL"/>
        </w:rPr>
        <w:t>n</w:t>
      </w:r>
      <w:r w:rsidR="00595E9F" w:rsidRPr="00645C33">
        <w:rPr>
          <w:rFonts w:ascii="Times New Roman" w:hAnsi="Times New Roman"/>
          <w:lang w:val="es-CL"/>
        </w:rPr>
        <w:t>do al contador, éste le dijo: “Lo que pasa es que esos valores se sacan del costo de los segmentos ya que de lo contrario estarían duplicados.” Comente.</w:t>
      </w:r>
    </w:p>
    <w:p w14:paraId="2DD30AC2" w14:textId="77777777" w:rsidR="00595E9F" w:rsidRPr="00645C33" w:rsidRDefault="00595E9F" w:rsidP="00DE011B">
      <w:pPr>
        <w:pStyle w:val="ListParagraph"/>
        <w:spacing w:after="0" w:line="240" w:lineRule="auto"/>
        <w:jc w:val="both"/>
        <w:rPr>
          <w:rFonts w:ascii="Times New Roman" w:hAnsi="Times New Roman"/>
          <w:color w:val="4F81BD" w:themeColor="accent1"/>
          <w:lang w:val="es-CL"/>
        </w:rPr>
      </w:pPr>
    </w:p>
    <w:p w14:paraId="70AA3405" w14:textId="6ACFF37F" w:rsidR="00595E9F" w:rsidRPr="00645C33" w:rsidRDefault="00595E9F" w:rsidP="00DE011B">
      <w:pPr>
        <w:pStyle w:val="ListParagraph"/>
        <w:spacing w:after="0" w:line="240" w:lineRule="auto"/>
        <w:jc w:val="both"/>
        <w:rPr>
          <w:rFonts w:ascii="Times New Roman" w:hAnsi="Times New Roman"/>
          <w:color w:val="4F81BD" w:themeColor="accent1"/>
          <w:lang w:val="es-CL"/>
        </w:rPr>
      </w:pPr>
      <w:r w:rsidRPr="00645C33">
        <w:rPr>
          <w:rFonts w:ascii="Times New Roman" w:hAnsi="Times New Roman"/>
          <w:color w:val="4F81BD" w:themeColor="accent1"/>
          <w:lang w:val="es-CL"/>
        </w:rPr>
        <w:t>Respuesta: El sacar esos costos es un error. Se deben mantener y luego sacar en la columna de eliminaciones o en la reconciliación con el resultado neto. Si se sacan antes, entonces el resultado del segmento esta incorrecto ya que no considera un costo real para ese segmento.</w:t>
      </w:r>
    </w:p>
    <w:p w14:paraId="1CF12973" w14:textId="77777777" w:rsidR="00595E9F" w:rsidRPr="00645C33" w:rsidRDefault="00595E9F" w:rsidP="00DE011B">
      <w:pPr>
        <w:pStyle w:val="ListParagraph"/>
        <w:spacing w:after="0" w:line="240" w:lineRule="auto"/>
        <w:jc w:val="both"/>
        <w:rPr>
          <w:rFonts w:ascii="Times New Roman" w:hAnsi="Times New Roman"/>
          <w:color w:val="4F81BD" w:themeColor="accent1"/>
          <w:lang w:val="es-CL"/>
        </w:rPr>
      </w:pPr>
    </w:p>
    <w:p w14:paraId="42DCEEB8" w14:textId="11B01AFA" w:rsidR="00094065" w:rsidRPr="00B260BB" w:rsidRDefault="00094065" w:rsidP="00DE011B">
      <w:pPr>
        <w:jc w:val="both"/>
        <w:rPr>
          <w:b/>
          <w:sz w:val="22"/>
          <w:szCs w:val="22"/>
        </w:rPr>
      </w:pPr>
      <w:r w:rsidRPr="00645C33">
        <w:rPr>
          <w:b/>
          <w:sz w:val="22"/>
          <w:szCs w:val="22"/>
          <w:u w:val="single"/>
        </w:rPr>
        <w:t>Pregunta 2</w:t>
      </w:r>
      <w:r w:rsidRPr="00B260BB">
        <w:rPr>
          <w:b/>
          <w:sz w:val="22"/>
          <w:szCs w:val="22"/>
        </w:rPr>
        <w:tab/>
      </w:r>
      <w:r w:rsidR="00B260BB" w:rsidRPr="00B260BB">
        <w:rPr>
          <w:b/>
          <w:sz w:val="22"/>
          <w:szCs w:val="22"/>
        </w:rPr>
        <w:t>8</w:t>
      </w:r>
      <w:r w:rsidRPr="00B260BB">
        <w:rPr>
          <w:b/>
          <w:sz w:val="22"/>
          <w:szCs w:val="22"/>
        </w:rPr>
        <w:t xml:space="preserve"> puntos</w:t>
      </w:r>
    </w:p>
    <w:p w14:paraId="3C07714F" w14:textId="77777777" w:rsidR="0074007C" w:rsidRPr="00645C33" w:rsidRDefault="0074007C" w:rsidP="00DE011B">
      <w:pPr>
        <w:jc w:val="both"/>
        <w:rPr>
          <w:b/>
          <w:sz w:val="22"/>
          <w:szCs w:val="22"/>
          <w:u w:val="single"/>
        </w:rPr>
      </w:pPr>
    </w:p>
    <w:p w14:paraId="30BEDF50" w14:textId="77777777" w:rsidR="00FB1AAE" w:rsidRPr="00645C33" w:rsidRDefault="004C4593" w:rsidP="00DE011B">
      <w:pPr>
        <w:jc w:val="both"/>
        <w:rPr>
          <w:sz w:val="22"/>
          <w:szCs w:val="22"/>
        </w:rPr>
      </w:pPr>
      <w:r w:rsidRPr="00645C33">
        <w:rPr>
          <w:sz w:val="22"/>
          <w:szCs w:val="22"/>
        </w:rPr>
        <w:t>La</w:t>
      </w:r>
      <w:r w:rsidR="00FB1AAE" w:rsidRPr="00645C33">
        <w:rPr>
          <w:sz w:val="22"/>
          <w:szCs w:val="22"/>
        </w:rPr>
        <w:t xml:space="preserve"> empresa</w:t>
      </w:r>
      <w:r w:rsidRPr="00645C33">
        <w:rPr>
          <w:sz w:val="22"/>
          <w:szCs w:val="22"/>
        </w:rPr>
        <w:t xml:space="preserve"> Pinturas XLC S.A. es una empresa del sector industrial que se dedica a la fabricación de pinturas, brochas, lijas, e</w:t>
      </w:r>
      <w:r w:rsidR="00FB1AAE" w:rsidRPr="00645C33">
        <w:rPr>
          <w:sz w:val="22"/>
          <w:szCs w:val="22"/>
        </w:rPr>
        <w:t>ntre</w:t>
      </w:r>
      <w:r w:rsidRPr="00645C33">
        <w:rPr>
          <w:sz w:val="22"/>
          <w:szCs w:val="22"/>
        </w:rPr>
        <w:t xml:space="preserve"> otros insumos de albañilería</w:t>
      </w:r>
      <w:r w:rsidR="00FB1AAE" w:rsidRPr="00645C33">
        <w:rPr>
          <w:sz w:val="22"/>
          <w:szCs w:val="22"/>
        </w:rPr>
        <w:t>, cuyo componente de Propiedad, Plantas y Equipos, es una maquinaria importada, única en el país, cuyo costo de adquisición fue $12.000.000. La maquinaria se encontraba lista para su uso desde el 1 de mayo del 2012 y sus operaciones comenzaron el 1 de junio del 2012.</w:t>
      </w:r>
    </w:p>
    <w:p w14:paraId="2589CB11" w14:textId="77777777" w:rsidR="00FB1AAE" w:rsidRPr="00645C33" w:rsidRDefault="00FB1AAE" w:rsidP="00DE011B">
      <w:pPr>
        <w:jc w:val="both"/>
        <w:rPr>
          <w:sz w:val="22"/>
          <w:szCs w:val="22"/>
        </w:rPr>
      </w:pPr>
    </w:p>
    <w:p w14:paraId="32401E33" w14:textId="77777777" w:rsidR="00FB1AAE" w:rsidRPr="00645C33" w:rsidRDefault="00FB1AAE" w:rsidP="00DE011B">
      <w:pPr>
        <w:jc w:val="both"/>
        <w:rPr>
          <w:sz w:val="22"/>
          <w:szCs w:val="22"/>
        </w:rPr>
      </w:pPr>
      <w:r w:rsidRPr="00645C33">
        <w:rPr>
          <w:sz w:val="22"/>
          <w:szCs w:val="22"/>
        </w:rPr>
        <w:t xml:space="preserve">El valor contable de la maquinaria al 31.12.2016 es de $8.800.000, cuya depreciación es lineal con una vida útil remanente estimada de 10 años. </w:t>
      </w:r>
    </w:p>
    <w:p w14:paraId="60D347E4" w14:textId="77777777" w:rsidR="00FB1AAE" w:rsidRPr="00645C33" w:rsidRDefault="00FB1AAE" w:rsidP="00DE011B">
      <w:pPr>
        <w:jc w:val="both"/>
        <w:rPr>
          <w:sz w:val="22"/>
          <w:szCs w:val="22"/>
        </w:rPr>
      </w:pPr>
    </w:p>
    <w:p w14:paraId="2479ECF7" w14:textId="77777777" w:rsidR="00FB1AAE" w:rsidRPr="00645C33" w:rsidRDefault="00FB1AAE" w:rsidP="00DE011B">
      <w:pPr>
        <w:jc w:val="both"/>
        <w:rPr>
          <w:sz w:val="22"/>
          <w:szCs w:val="22"/>
        </w:rPr>
      </w:pPr>
      <w:r w:rsidRPr="00645C33">
        <w:rPr>
          <w:sz w:val="22"/>
          <w:szCs w:val="22"/>
        </w:rPr>
        <w:t>Durante el mes de diciembre del 2016, la gerencia de finanzas de la empresa ha solicitado una evaluación del valor recuperable del activo a la gerencia de operaciones, a fin de determinar que el valor contable no sea mayor a su importe recuperable.</w:t>
      </w:r>
    </w:p>
    <w:p w14:paraId="74849239" w14:textId="77777777" w:rsidR="00FB1AAE" w:rsidRPr="00645C33" w:rsidRDefault="00FB1AAE" w:rsidP="00DE011B">
      <w:pPr>
        <w:jc w:val="both"/>
        <w:rPr>
          <w:sz w:val="22"/>
          <w:szCs w:val="22"/>
        </w:rPr>
      </w:pPr>
    </w:p>
    <w:p w14:paraId="1CEA9463" w14:textId="77777777" w:rsidR="00FB1AAE" w:rsidRPr="00645C33" w:rsidRDefault="00FB1AAE" w:rsidP="00DE011B">
      <w:pPr>
        <w:jc w:val="both"/>
        <w:rPr>
          <w:sz w:val="22"/>
          <w:szCs w:val="22"/>
        </w:rPr>
      </w:pPr>
      <w:r w:rsidRPr="00645C33">
        <w:rPr>
          <w:sz w:val="22"/>
          <w:szCs w:val="22"/>
        </w:rPr>
        <w:t>La empresa Pinturas XLC S.A., ha considerado los presupuestos financieros más recientes, los cuales han sido aprobados por las gerencias y el Directorio, excluyendo cualquier estimación de entradas o salidas de efectivo que se podrían esperar por reestructuraciones futuras.</w:t>
      </w:r>
    </w:p>
    <w:p w14:paraId="6E4B6138" w14:textId="77777777" w:rsidR="00FB1AAE" w:rsidRPr="00645C33" w:rsidRDefault="00FB1AAE" w:rsidP="00DE011B">
      <w:pPr>
        <w:jc w:val="both"/>
        <w:rPr>
          <w:sz w:val="22"/>
          <w:szCs w:val="22"/>
        </w:rPr>
      </w:pPr>
    </w:p>
    <w:p w14:paraId="5CDD9794" w14:textId="77777777" w:rsidR="00FB1AAE" w:rsidRPr="00645C33" w:rsidRDefault="00FB1AAE" w:rsidP="00DE011B">
      <w:pPr>
        <w:jc w:val="both"/>
        <w:rPr>
          <w:sz w:val="22"/>
          <w:szCs w:val="22"/>
        </w:rPr>
      </w:pPr>
      <w:r w:rsidRPr="00645C33">
        <w:rPr>
          <w:sz w:val="22"/>
          <w:szCs w:val="22"/>
        </w:rPr>
        <w:t>Los flujos netos por los próximos 5 años son los siguientes:</w:t>
      </w:r>
    </w:p>
    <w:p w14:paraId="3C0CFAE2" w14:textId="77777777" w:rsidR="00FB1AAE" w:rsidRPr="00645C33" w:rsidRDefault="00FB1AAE" w:rsidP="00DE011B">
      <w:pPr>
        <w:jc w:val="both"/>
        <w:rPr>
          <w:sz w:val="22"/>
          <w:szCs w:val="22"/>
        </w:rPr>
      </w:pPr>
    </w:p>
    <w:tbl>
      <w:tblPr>
        <w:tblStyle w:val="TableGrid"/>
        <w:tblW w:w="0" w:type="auto"/>
        <w:tblLook w:val="04A0" w:firstRow="1" w:lastRow="0" w:firstColumn="1" w:lastColumn="0" w:noHBand="0" w:noVBand="1"/>
      </w:tblPr>
      <w:tblGrid>
        <w:gridCol w:w="1101"/>
        <w:gridCol w:w="1275"/>
      </w:tblGrid>
      <w:tr w:rsidR="00FB1AAE" w:rsidRPr="00645C33" w14:paraId="49CD4253" w14:textId="77777777" w:rsidTr="00AF32A3">
        <w:tc>
          <w:tcPr>
            <w:tcW w:w="1101" w:type="dxa"/>
          </w:tcPr>
          <w:p w14:paraId="59017C14" w14:textId="77777777" w:rsidR="00FB1AAE" w:rsidRPr="00645C33" w:rsidRDefault="00FB1AAE" w:rsidP="00DE011B">
            <w:pPr>
              <w:jc w:val="both"/>
              <w:rPr>
                <w:sz w:val="22"/>
                <w:szCs w:val="22"/>
              </w:rPr>
            </w:pPr>
            <w:r w:rsidRPr="00645C33">
              <w:rPr>
                <w:sz w:val="22"/>
                <w:szCs w:val="22"/>
              </w:rPr>
              <w:t>AÑO</w:t>
            </w:r>
          </w:p>
        </w:tc>
        <w:tc>
          <w:tcPr>
            <w:tcW w:w="1275" w:type="dxa"/>
          </w:tcPr>
          <w:p w14:paraId="2901EC26" w14:textId="77777777" w:rsidR="00FB1AAE" w:rsidRPr="00645C33" w:rsidRDefault="00AF32A3" w:rsidP="00DE011B">
            <w:pPr>
              <w:jc w:val="both"/>
              <w:rPr>
                <w:sz w:val="22"/>
                <w:szCs w:val="22"/>
              </w:rPr>
            </w:pPr>
            <w:r w:rsidRPr="00645C33">
              <w:rPr>
                <w:sz w:val="22"/>
                <w:szCs w:val="22"/>
              </w:rPr>
              <w:t>Flujo</w:t>
            </w:r>
          </w:p>
        </w:tc>
      </w:tr>
      <w:tr w:rsidR="00FB1AAE" w:rsidRPr="00645C33" w14:paraId="05FD4B6E" w14:textId="77777777" w:rsidTr="00AF32A3">
        <w:tc>
          <w:tcPr>
            <w:tcW w:w="1101" w:type="dxa"/>
          </w:tcPr>
          <w:p w14:paraId="62763FCB" w14:textId="77777777" w:rsidR="00FB1AAE" w:rsidRPr="00645C33" w:rsidRDefault="00AF32A3" w:rsidP="00DE011B">
            <w:pPr>
              <w:jc w:val="both"/>
              <w:rPr>
                <w:sz w:val="22"/>
                <w:szCs w:val="22"/>
              </w:rPr>
            </w:pPr>
            <w:r w:rsidRPr="00645C33">
              <w:rPr>
                <w:sz w:val="22"/>
                <w:szCs w:val="22"/>
              </w:rPr>
              <w:t>2017</w:t>
            </w:r>
          </w:p>
        </w:tc>
        <w:tc>
          <w:tcPr>
            <w:tcW w:w="1275" w:type="dxa"/>
          </w:tcPr>
          <w:p w14:paraId="6D7A402F" w14:textId="77777777" w:rsidR="00FB1AAE" w:rsidRPr="00645C33" w:rsidRDefault="00AF32A3" w:rsidP="00DE011B">
            <w:pPr>
              <w:jc w:val="both"/>
              <w:rPr>
                <w:sz w:val="22"/>
                <w:szCs w:val="22"/>
              </w:rPr>
            </w:pPr>
            <w:r w:rsidRPr="00645C33">
              <w:rPr>
                <w:sz w:val="22"/>
                <w:szCs w:val="22"/>
              </w:rPr>
              <w:t>2.400.000</w:t>
            </w:r>
          </w:p>
        </w:tc>
      </w:tr>
      <w:tr w:rsidR="00FB1AAE" w:rsidRPr="00645C33" w14:paraId="2B533649" w14:textId="77777777" w:rsidTr="00AF32A3">
        <w:tc>
          <w:tcPr>
            <w:tcW w:w="1101" w:type="dxa"/>
          </w:tcPr>
          <w:p w14:paraId="61437448" w14:textId="77777777" w:rsidR="00FB1AAE" w:rsidRPr="00645C33" w:rsidRDefault="00AF32A3" w:rsidP="00DE011B">
            <w:pPr>
              <w:jc w:val="both"/>
              <w:rPr>
                <w:sz w:val="22"/>
                <w:szCs w:val="22"/>
              </w:rPr>
            </w:pPr>
            <w:r w:rsidRPr="00645C33">
              <w:rPr>
                <w:sz w:val="22"/>
                <w:szCs w:val="22"/>
              </w:rPr>
              <w:t>2018</w:t>
            </w:r>
          </w:p>
        </w:tc>
        <w:tc>
          <w:tcPr>
            <w:tcW w:w="1275" w:type="dxa"/>
          </w:tcPr>
          <w:p w14:paraId="73D0C645" w14:textId="77777777" w:rsidR="00FB1AAE" w:rsidRPr="00645C33" w:rsidRDefault="00AF32A3" w:rsidP="00DE011B">
            <w:pPr>
              <w:jc w:val="both"/>
              <w:rPr>
                <w:sz w:val="22"/>
                <w:szCs w:val="22"/>
              </w:rPr>
            </w:pPr>
            <w:r w:rsidRPr="00645C33">
              <w:rPr>
                <w:sz w:val="22"/>
                <w:szCs w:val="22"/>
              </w:rPr>
              <w:t>2.350.000</w:t>
            </w:r>
          </w:p>
        </w:tc>
      </w:tr>
      <w:tr w:rsidR="00FB1AAE" w:rsidRPr="00645C33" w14:paraId="6B723F48" w14:textId="77777777" w:rsidTr="00AF32A3">
        <w:tc>
          <w:tcPr>
            <w:tcW w:w="1101" w:type="dxa"/>
          </w:tcPr>
          <w:p w14:paraId="325653AE" w14:textId="77777777" w:rsidR="00FB1AAE" w:rsidRPr="00645C33" w:rsidRDefault="00AF32A3" w:rsidP="00DE011B">
            <w:pPr>
              <w:jc w:val="both"/>
              <w:rPr>
                <w:sz w:val="22"/>
                <w:szCs w:val="22"/>
              </w:rPr>
            </w:pPr>
            <w:r w:rsidRPr="00645C33">
              <w:rPr>
                <w:sz w:val="22"/>
                <w:szCs w:val="22"/>
              </w:rPr>
              <w:t>2019</w:t>
            </w:r>
          </w:p>
        </w:tc>
        <w:tc>
          <w:tcPr>
            <w:tcW w:w="1275" w:type="dxa"/>
          </w:tcPr>
          <w:p w14:paraId="34D506CA" w14:textId="77777777" w:rsidR="00FB1AAE" w:rsidRPr="00645C33" w:rsidRDefault="00AF32A3" w:rsidP="00DE011B">
            <w:pPr>
              <w:jc w:val="both"/>
              <w:rPr>
                <w:sz w:val="22"/>
                <w:szCs w:val="22"/>
              </w:rPr>
            </w:pPr>
            <w:r w:rsidRPr="00645C33">
              <w:rPr>
                <w:sz w:val="22"/>
                <w:szCs w:val="22"/>
              </w:rPr>
              <w:t>2.050.000</w:t>
            </w:r>
          </w:p>
        </w:tc>
      </w:tr>
      <w:tr w:rsidR="00FB1AAE" w:rsidRPr="00645C33" w14:paraId="28460000" w14:textId="77777777" w:rsidTr="00AF32A3">
        <w:tc>
          <w:tcPr>
            <w:tcW w:w="1101" w:type="dxa"/>
          </w:tcPr>
          <w:p w14:paraId="18F2AD70" w14:textId="77777777" w:rsidR="00FB1AAE" w:rsidRPr="00645C33" w:rsidRDefault="00AF32A3" w:rsidP="00DE011B">
            <w:pPr>
              <w:jc w:val="both"/>
              <w:rPr>
                <w:sz w:val="22"/>
                <w:szCs w:val="22"/>
              </w:rPr>
            </w:pPr>
            <w:r w:rsidRPr="00645C33">
              <w:rPr>
                <w:sz w:val="22"/>
                <w:szCs w:val="22"/>
              </w:rPr>
              <w:t>2020</w:t>
            </w:r>
          </w:p>
        </w:tc>
        <w:tc>
          <w:tcPr>
            <w:tcW w:w="1275" w:type="dxa"/>
          </w:tcPr>
          <w:p w14:paraId="30F453F7" w14:textId="77777777" w:rsidR="00FB1AAE" w:rsidRPr="00645C33" w:rsidRDefault="00AF32A3" w:rsidP="00DE011B">
            <w:pPr>
              <w:jc w:val="both"/>
              <w:rPr>
                <w:sz w:val="22"/>
                <w:szCs w:val="22"/>
              </w:rPr>
            </w:pPr>
            <w:r w:rsidRPr="00645C33">
              <w:rPr>
                <w:sz w:val="22"/>
                <w:szCs w:val="22"/>
              </w:rPr>
              <w:t>1.800.000</w:t>
            </w:r>
          </w:p>
        </w:tc>
      </w:tr>
      <w:tr w:rsidR="00FB1AAE" w:rsidRPr="00645C33" w14:paraId="26444616" w14:textId="77777777" w:rsidTr="00AF32A3">
        <w:tc>
          <w:tcPr>
            <w:tcW w:w="1101" w:type="dxa"/>
          </w:tcPr>
          <w:p w14:paraId="207ACE9A" w14:textId="77777777" w:rsidR="00FB1AAE" w:rsidRPr="00645C33" w:rsidRDefault="00AF32A3" w:rsidP="00DE011B">
            <w:pPr>
              <w:jc w:val="both"/>
              <w:rPr>
                <w:sz w:val="22"/>
                <w:szCs w:val="22"/>
              </w:rPr>
            </w:pPr>
            <w:r w:rsidRPr="00645C33">
              <w:rPr>
                <w:sz w:val="22"/>
                <w:szCs w:val="22"/>
              </w:rPr>
              <w:t>2021</w:t>
            </w:r>
          </w:p>
        </w:tc>
        <w:tc>
          <w:tcPr>
            <w:tcW w:w="1275" w:type="dxa"/>
          </w:tcPr>
          <w:p w14:paraId="2254B22E" w14:textId="77777777" w:rsidR="00FB1AAE" w:rsidRPr="00645C33" w:rsidRDefault="00AF32A3" w:rsidP="00DE011B">
            <w:pPr>
              <w:jc w:val="both"/>
              <w:rPr>
                <w:sz w:val="22"/>
                <w:szCs w:val="22"/>
              </w:rPr>
            </w:pPr>
            <w:r w:rsidRPr="00645C33">
              <w:rPr>
                <w:sz w:val="22"/>
                <w:szCs w:val="22"/>
              </w:rPr>
              <w:t>1.720.000</w:t>
            </w:r>
          </w:p>
        </w:tc>
      </w:tr>
      <w:tr w:rsidR="00FB1AAE" w:rsidRPr="00645C33" w14:paraId="62485114" w14:textId="77777777" w:rsidTr="00AF32A3">
        <w:tc>
          <w:tcPr>
            <w:tcW w:w="1101" w:type="dxa"/>
          </w:tcPr>
          <w:p w14:paraId="24417663" w14:textId="77777777" w:rsidR="00FB1AAE" w:rsidRPr="00645C33" w:rsidRDefault="00AF32A3" w:rsidP="00DE011B">
            <w:pPr>
              <w:jc w:val="both"/>
              <w:rPr>
                <w:sz w:val="22"/>
                <w:szCs w:val="22"/>
              </w:rPr>
            </w:pPr>
            <w:r w:rsidRPr="00645C33">
              <w:rPr>
                <w:sz w:val="22"/>
                <w:szCs w:val="22"/>
              </w:rPr>
              <w:t>Total</w:t>
            </w:r>
          </w:p>
        </w:tc>
        <w:tc>
          <w:tcPr>
            <w:tcW w:w="1275" w:type="dxa"/>
          </w:tcPr>
          <w:p w14:paraId="7E6776DF" w14:textId="77777777" w:rsidR="00FB1AAE" w:rsidRPr="00645C33" w:rsidRDefault="00AF32A3" w:rsidP="00DE011B">
            <w:pPr>
              <w:jc w:val="both"/>
              <w:rPr>
                <w:sz w:val="22"/>
                <w:szCs w:val="22"/>
              </w:rPr>
            </w:pPr>
            <w:r w:rsidRPr="00645C33">
              <w:rPr>
                <w:sz w:val="22"/>
                <w:szCs w:val="22"/>
              </w:rPr>
              <w:t>10.320.000</w:t>
            </w:r>
          </w:p>
        </w:tc>
      </w:tr>
    </w:tbl>
    <w:p w14:paraId="0B5B6714" w14:textId="77777777" w:rsidR="00FB1AAE" w:rsidRPr="00645C33" w:rsidRDefault="00FB1AAE" w:rsidP="00DE011B">
      <w:pPr>
        <w:jc w:val="both"/>
        <w:rPr>
          <w:sz w:val="22"/>
          <w:szCs w:val="22"/>
        </w:rPr>
      </w:pPr>
    </w:p>
    <w:p w14:paraId="4C8E1294" w14:textId="77777777" w:rsidR="00FB1AAE" w:rsidRPr="00645C33" w:rsidRDefault="00AF32A3" w:rsidP="00DE011B">
      <w:pPr>
        <w:jc w:val="both"/>
        <w:rPr>
          <w:sz w:val="22"/>
          <w:szCs w:val="22"/>
        </w:rPr>
      </w:pPr>
      <w:r w:rsidRPr="00645C33">
        <w:rPr>
          <w:sz w:val="22"/>
          <w:szCs w:val="22"/>
        </w:rPr>
        <w:t>*El Valor presente de los Flujos es de $7.961.571</w:t>
      </w:r>
    </w:p>
    <w:p w14:paraId="016B86F8" w14:textId="77777777" w:rsidR="00AF32A3" w:rsidRPr="00645C33" w:rsidRDefault="00AF32A3" w:rsidP="00DE011B">
      <w:pPr>
        <w:jc w:val="both"/>
        <w:rPr>
          <w:sz w:val="22"/>
          <w:szCs w:val="22"/>
        </w:rPr>
      </w:pPr>
    </w:p>
    <w:p w14:paraId="15258B59" w14:textId="77777777" w:rsidR="00AA7E61" w:rsidRPr="00645C33" w:rsidRDefault="00AA7E61" w:rsidP="00DE011B">
      <w:pPr>
        <w:jc w:val="both"/>
        <w:rPr>
          <w:sz w:val="22"/>
          <w:szCs w:val="22"/>
        </w:rPr>
      </w:pPr>
      <w:r w:rsidRPr="00645C33">
        <w:rPr>
          <w:sz w:val="22"/>
          <w:szCs w:val="22"/>
        </w:rPr>
        <w:t>Adicionalmente existen ofertas de compra de otras empresas dedicadas al mismo rubro, ofreciendo comprar la maquinaria en aproximadamente $7.500.000.</w:t>
      </w:r>
    </w:p>
    <w:p w14:paraId="5C5F9219" w14:textId="77777777" w:rsidR="00AA7E61" w:rsidRPr="00645C33" w:rsidRDefault="00AA7E61" w:rsidP="00DE011B">
      <w:pPr>
        <w:jc w:val="both"/>
        <w:rPr>
          <w:sz w:val="22"/>
          <w:szCs w:val="22"/>
        </w:rPr>
      </w:pPr>
    </w:p>
    <w:p w14:paraId="5974BA56" w14:textId="77777777" w:rsidR="00AF32A3" w:rsidRPr="00645C33" w:rsidRDefault="00AF32A3" w:rsidP="00DE011B">
      <w:pPr>
        <w:jc w:val="both"/>
        <w:rPr>
          <w:b/>
          <w:sz w:val="22"/>
          <w:szCs w:val="22"/>
        </w:rPr>
      </w:pPr>
      <w:r w:rsidRPr="00645C33">
        <w:rPr>
          <w:b/>
          <w:sz w:val="22"/>
          <w:szCs w:val="22"/>
        </w:rPr>
        <w:t>Se pide:</w:t>
      </w:r>
    </w:p>
    <w:p w14:paraId="6E1D50F4" w14:textId="77777777" w:rsidR="00AF32A3" w:rsidRPr="00645C33" w:rsidRDefault="00AF32A3" w:rsidP="00DE011B">
      <w:pPr>
        <w:jc w:val="both"/>
        <w:rPr>
          <w:sz w:val="22"/>
          <w:szCs w:val="22"/>
        </w:rPr>
      </w:pPr>
    </w:p>
    <w:p w14:paraId="75B78711" w14:textId="4E888E4B" w:rsidR="00FB1AAE" w:rsidRPr="00645C33" w:rsidRDefault="00AF32A3" w:rsidP="00DE011B">
      <w:pPr>
        <w:jc w:val="both"/>
        <w:rPr>
          <w:sz w:val="22"/>
          <w:szCs w:val="22"/>
        </w:rPr>
      </w:pPr>
      <w:r w:rsidRPr="00645C33">
        <w:rPr>
          <w:sz w:val="22"/>
          <w:szCs w:val="22"/>
        </w:rPr>
        <w:t>¿Determine si existe o no deterioro, cuál es el importe y la contabilización correspondiente?</w:t>
      </w:r>
      <w:r w:rsidR="00FF693A" w:rsidRPr="00645C33">
        <w:rPr>
          <w:sz w:val="22"/>
          <w:szCs w:val="22"/>
        </w:rPr>
        <w:t xml:space="preserve"> </w:t>
      </w:r>
      <w:r w:rsidR="00511148" w:rsidRPr="00645C33">
        <w:rPr>
          <w:sz w:val="22"/>
          <w:szCs w:val="22"/>
        </w:rPr>
        <w:t>Justifique su respuesta</w:t>
      </w:r>
    </w:p>
    <w:p w14:paraId="1CC57CB5" w14:textId="77777777" w:rsidR="00AF32A3" w:rsidRPr="00645C33" w:rsidRDefault="00AF32A3" w:rsidP="00DE011B">
      <w:pPr>
        <w:jc w:val="both"/>
        <w:rPr>
          <w:sz w:val="22"/>
          <w:szCs w:val="22"/>
        </w:rPr>
      </w:pPr>
    </w:p>
    <w:p w14:paraId="5F4DE406" w14:textId="56195772" w:rsidR="00AF32A3" w:rsidRPr="00645C33" w:rsidRDefault="00AA7E61" w:rsidP="00DE011B">
      <w:pPr>
        <w:jc w:val="both"/>
        <w:rPr>
          <w:color w:val="1F497D" w:themeColor="text2"/>
          <w:sz w:val="22"/>
          <w:szCs w:val="22"/>
        </w:rPr>
      </w:pPr>
      <w:r w:rsidRPr="00645C33">
        <w:rPr>
          <w:color w:val="1F497D" w:themeColor="text2"/>
          <w:sz w:val="22"/>
          <w:szCs w:val="22"/>
        </w:rPr>
        <w:lastRenderedPageBreak/>
        <w:t>Para determinar si existe deterioro se debe comparar la contabilidad con el importe recuperable</w:t>
      </w:r>
      <w:r w:rsidR="00FF693A" w:rsidRPr="00645C33">
        <w:rPr>
          <w:color w:val="1F497D" w:themeColor="text2"/>
          <w:sz w:val="22"/>
          <w:szCs w:val="22"/>
        </w:rPr>
        <w:t>, que corresponde al mayor entre el</w:t>
      </w:r>
      <w:r w:rsidRPr="00645C33">
        <w:rPr>
          <w:color w:val="1F497D" w:themeColor="text2"/>
          <w:sz w:val="22"/>
          <w:szCs w:val="22"/>
        </w:rPr>
        <w:t xml:space="preserve"> valor justo neto o su valor en uso</w:t>
      </w:r>
      <w:r w:rsidR="00A65F19" w:rsidRPr="00645C33">
        <w:rPr>
          <w:b/>
          <w:color w:val="FF0000"/>
          <w:sz w:val="22"/>
          <w:szCs w:val="22"/>
        </w:rPr>
        <w:t>.</w:t>
      </w:r>
    </w:p>
    <w:p w14:paraId="4A31A3D4" w14:textId="77777777" w:rsidR="00AF32A3" w:rsidRPr="00645C33" w:rsidRDefault="00AF32A3" w:rsidP="00DE011B">
      <w:pPr>
        <w:jc w:val="both"/>
        <w:rPr>
          <w:color w:val="1F497D" w:themeColor="text2"/>
          <w:sz w:val="22"/>
          <w:szCs w:val="22"/>
        </w:rPr>
      </w:pPr>
    </w:p>
    <w:p w14:paraId="6D66DA33" w14:textId="48EEC2D7" w:rsidR="00AA7E61" w:rsidRPr="00645C33" w:rsidRDefault="00AA7E61" w:rsidP="00DE011B">
      <w:pPr>
        <w:jc w:val="both"/>
        <w:rPr>
          <w:color w:val="1F497D" w:themeColor="text2"/>
          <w:sz w:val="22"/>
          <w:szCs w:val="22"/>
        </w:rPr>
      </w:pPr>
      <w:r w:rsidRPr="00645C33">
        <w:rPr>
          <w:color w:val="1F497D" w:themeColor="text2"/>
          <w:sz w:val="22"/>
          <w:szCs w:val="22"/>
        </w:rPr>
        <w:t>En este caso el mayor valor entre el valor justo neto o el valor en uso es el valor en uso $7.961.571.</w:t>
      </w:r>
    </w:p>
    <w:p w14:paraId="1DCDBCBB" w14:textId="77777777" w:rsidR="00AA7E61" w:rsidRPr="00645C33" w:rsidRDefault="00AA7E61" w:rsidP="00DE011B">
      <w:pPr>
        <w:jc w:val="both"/>
        <w:rPr>
          <w:color w:val="1F497D" w:themeColor="text2"/>
          <w:sz w:val="22"/>
          <w:szCs w:val="22"/>
        </w:rPr>
      </w:pPr>
    </w:p>
    <w:p w14:paraId="78CE227A" w14:textId="77777777" w:rsidR="00AF32A3" w:rsidRPr="00645C33" w:rsidRDefault="00AF32A3" w:rsidP="00DE011B">
      <w:pPr>
        <w:jc w:val="both"/>
        <w:rPr>
          <w:color w:val="1F497D" w:themeColor="text2"/>
          <w:sz w:val="22"/>
          <w:szCs w:val="22"/>
        </w:rPr>
      </w:pPr>
      <w:r w:rsidRPr="00645C33">
        <w:rPr>
          <w:color w:val="1F497D" w:themeColor="text2"/>
          <w:sz w:val="22"/>
          <w:szCs w:val="22"/>
        </w:rPr>
        <w:t>Valor Contable al 31.12.2016 $8.800.000</w:t>
      </w:r>
    </w:p>
    <w:p w14:paraId="170DACA4" w14:textId="77777777" w:rsidR="00AF32A3" w:rsidRPr="00645C33" w:rsidRDefault="00AF32A3" w:rsidP="00DE011B">
      <w:pPr>
        <w:jc w:val="both"/>
        <w:rPr>
          <w:color w:val="1F497D" w:themeColor="text2"/>
          <w:sz w:val="22"/>
          <w:szCs w:val="22"/>
        </w:rPr>
      </w:pPr>
      <w:r w:rsidRPr="00645C33">
        <w:rPr>
          <w:color w:val="1F497D" w:themeColor="text2"/>
          <w:sz w:val="22"/>
          <w:szCs w:val="22"/>
        </w:rPr>
        <w:t>Valor en Uso al 31.12.2016    $7.961.571</w:t>
      </w:r>
    </w:p>
    <w:p w14:paraId="02A4CF0C" w14:textId="7BF8ADFD" w:rsidR="00FB1AAE" w:rsidRPr="00645C33" w:rsidRDefault="00AF32A3" w:rsidP="00DE011B">
      <w:pPr>
        <w:jc w:val="both"/>
        <w:rPr>
          <w:b/>
          <w:color w:val="1F497D" w:themeColor="text2"/>
          <w:sz w:val="22"/>
          <w:szCs w:val="22"/>
        </w:rPr>
      </w:pPr>
      <w:r w:rsidRPr="00645C33">
        <w:rPr>
          <w:b/>
          <w:color w:val="1F497D" w:themeColor="text2"/>
          <w:sz w:val="22"/>
          <w:szCs w:val="22"/>
        </w:rPr>
        <w:t>Valor a ser deteriorado            $838.429</w:t>
      </w:r>
    </w:p>
    <w:p w14:paraId="07A7AD12" w14:textId="77777777" w:rsidR="00AA7E61" w:rsidRPr="00645C33" w:rsidRDefault="00AA7E61" w:rsidP="00DE011B">
      <w:pPr>
        <w:jc w:val="both"/>
        <w:rPr>
          <w:b/>
          <w:color w:val="1F497D" w:themeColor="text2"/>
          <w:sz w:val="22"/>
          <w:szCs w:val="22"/>
        </w:rPr>
      </w:pPr>
    </w:p>
    <w:p w14:paraId="46A73760" w14:textId="0A7915FA" w:rsidR="00AA7E61" w:rsidRPr="00645C33" w:rsidRDefault="00AA7E61" w:rsidP="00DE011B">
      <w:pPr>
        <w:jc w:val="both"/>
        <w:rPr>
          <w:color w:val="1F497D" w:themeColor="text2"/>
          <w:sz w:val="22"/>
          <w:szCs w:val="22"/>
        </w:rPr>
      </w:pPr>
      <w:r w:rsidRPr="00645C33">
        <w:rPr>
          <w:color w:val="1F497D" w:themeColor="text2"/>
          <w:sz w:val="22"/>
          <w:szCs w:val="22"/>
        </w:rPr>
        <w:t>Al ser el valor contable mayor al importe recuperable, si existe deterioro.</w:t>
      </w:r>
    </w:p>
    <w:p w14:paraId="18043250" w14:textId="77777777" w:rsidR="00AA7E61" w:rsidRPr="00645C33" w:rsidRDefault="00FB1AAE" w:rsidP="00DE011B">
      <w:pPr>
        <w:jc w:val="both"/>
        <w:rPr>
          <w:color w:val="1F497D" w:themeColor="text2"/>
          <w:sz w:val="22"/>
          <w:szCs w:val="22"/>
        </w:rPr>
      </w:pPr>
      <w:r w:rsidRPr="00645C33">
        <w:rPr>
          <w:color w:val="1F497D" w:themeColor="text2"/>
          <w:sz w:val="22"/>
          <w:szCs w:val="22"/>
        </w:rPr>
        <w:t xml:space="preserve"> </w:t>
      </w:r>
    </w:p>
    <w:p w14:paraId="740AE673" w14:textId="624CD902" w:rsidR="00AA7E61" w:rsidRPr="00645C33" w:rsidRDefault="00AA7E61" w:rsidP="00DE011B">
      <w:pPr>
        <w:jc w:val="both"/>
        <w:rPr>
          <w:color w:val="1F497D" w:themeColor="text2"/>
          <w:sz w:val="22"/>
          <w:szCs w:val="22"/>
        </w:rPr>
      </w:pPr>
      <w:r w:rsidRPr="00645C33">
        <w:rPr>
          <w:color w:val="1F497D" w:themeColor="text2"/>
          <w:sz w:val="22"/>
          <w:szCs w:val="22"/>
        </w:rPr>
        <w:t>-------------------------------------X------------------------------</w:t>
      </w:r>
    </w:p>
    <w:p w14:paraId="6137BD3D" w14:textId="77777777" w:rsidR="00AA7E61" w:rsidRPr="00645C33" w:rsidRDefault="00AA7E61" w:rsidP="00DE011B">
      <w:pPr>
        <w:jc w:val="both"/>
        <w:rPr>
          <w:color w:val="1F497D" w:themeColor="text2"/>
          <w:sz w:val="22"/>
          <w:szCs w:val="22"/>
        </w:rPr>
      </w:pPr>
      <w:r w:rsidRPr="00645C33">
        <w:rPr>
          <w:color w:val="1F497D" w:themeColor="text2"/>
          <w:sz w:val="22"/>
          <w:szCs w:val="22"/>
        </w:rPr>
        <w:t>Perdida por deterioro $838.429</w:t>
      </w:r>
    </w:p>
    <w:p w14:paraId="3263C9EB" w14:textId="77777777" w:rsidR="00AA7E61" w:rsidRPr="00645C33" w:rsidRDefault="00AA7E61" w:rsidP="00DE011B">
      <w:pPr>
        <w:jc w:val="both"/>
        <w:rPr>
          <w:color w:val="1F497D" w:themeColor="text2"/>
          <w:sz w:val="22"/>
          <w:szCs w:val="22"/>
        </w:rPr>
      </w:pPr>
      <w:r w:rsidRPr="00645C33">
        <w:rPr>
          <w:color w:val="1F497D" w:themeColor="text2"/>
          <w:sz w:val="22"/>
          <w:szCs w:val="22"/>
        </w:rPr>
        <w:t xml:space="preserve">            PP&amp;E                               838.429</w:t>
      </w:r>
    </w:p>
    <w:p w14:paraId="39460068" w14:textId="77777777" w:rsidR="00AA7E61" w:rsidRPr="00645C33" w:rsidRDefault="00AA7E61" w:rsidP="00DE011B">
      <w:pPr>
        <w:jc w:val="both"/>
        <w:rPr>
          <w:color w:val="1F497D" w:themeColor="text2"/>
          <w:sz w:val="22"/>
          <w:szCs w:val="22"/>
        </w:rPr>
      </w:pPr>
      <w:r w:rsidRPr="00645C33">
        <w:rPr>
          <w:color w:val="1F497D" w:themeColor="text2"/>
          <w:sz w:val="22"/>
          <w:szCs w:val="22"/>
        </w:rPr>
        <w:t>-------------------------------------X------------------------------</w:t>
      </w:r>
    </w:p>
    <w:p w14:paraId="52817D17" w14:textId="77777777" w:rsidR="002530A3" w:rsidRPr="00645C33" w:rsidRDefault="002530A3" w:rsidP="00DE011B">
      <w:pPr>
        <w:jc w:val="both"/>
        <w:rPr>
          <w:sz w:val="22"/>
          <w:szCs w:val="22"/>
        </w:rPr>
      </w:pPr>
    </w:p>
    <w:p w14:paraId="5E041F39" w14:textId="3BAA99C8" w:rsidR="004C4593" w:rsidRPr="00645C33" w:rsidRDefault="002530A3" w:rsidP="00DE011B">
      <w:pPr>
        <w:jc w:val="both"/>
        <w:rPr>
          <w:b/>
          <w:sz w:val="22"/>
          <w:szCs w:val="22"/>
        </w:rPr>
      </w:pPr>
      <w:r w:rsidRPr="00645C33">
        <w:rPr>
          <w:b/>
          <w:sz w:val="22"/>
          <w:szCs w:val="22"/>
          <w:u w:val="single"/>
          <w:lang w:val="es-ES_tradnl"/>
        </w:rPr>
        <w:t>Pre</w:t>
      </w:r>
      <w:r w:rsidRPr="00645C33">
        <w:rPr>
          <w:b/>
          <w:sz w:val="22"/>
          <w:szCs w:val="22"/>
          <w:u w:val="single"/>
        </w:rPr>
        <w:t>gunta 3</w:t>
      </w:r>
      <w:r w:rsidRPr="00645C33">
        <w:rPr>
          <w:b/>
          <w:sz w:val="22"/>
          <w:szCs w:val="22"/>
        </w:rPr>
        <w:tab/>
      </w:r>
      <w:r w:rsidR="00B260BB">
        <w:rPr>
          <w:b/>
          <w:sz w:val="22"/>
          <w:szCs w:val="22"/>
        </w:rPr>
        <w:t>6</w:t>
      </w:r>
      <w:r w:rsidRPr="00645C33">
        <w:rPr>
          <w:b/>
          <w:sz w:val="22"/>
          <w:szCs w:val="22"/>
        </w:rPr>
        <w:t xml:space="preserve"> puntos</w:t>
      </w:r>
    </w:p>
    <w:p w14:paraId="0492C8C8" w14:textId="77777777" w:rsidR="0074007C" w:rsidRPr="00645C33" w:rsidRDefault="0074007C" w:rsidP="00DE011B">
      <w:pPr>
        <w:jc w:val="both"/>
        <w:rPr>
          <w:sz w:val="22"/>
          <w:szCs w:val="22"/>
        </w:rPr>
      </w:pPr>
    </w:p>
    <w:p w14:paraId="5F2EA6A5" w14:textId="77777777" w:rsidR="009F241E" w:rsidRPr="00645C33" w:rsidRDefault="009F241E" w:rsidP="00DE011B">
      <w:pPr>
        <w:jc w:val="both"/>
        <w:rPr>
          <w:sz w:val="22"/>
          <w:szCs w:val="22"/>
        </w:rPr>
      </w:pPr>
      <w:r w:rsidRPr="00645C33">
        <w:rPr>
          <w:sz w:val="22"/>
          <w:szCs w:val="22"/>
        </w:rPr>
        <w:t xml:space="preserve">Una empresa </w:t>
      </w:r>
      <w:r w:rsidR="002530A3" w:rsidRPr="00645C33">
        <w:rPr>
          <w:sz w:val="22"/>
          <w:szCs w:val="22"/>
        </w:rPr>
        <w:t>de insumos químicos ubicada en Santiago Centro</w:t>
      </w:r>
      <w:r w:rsidRPr="00645C33">
        <w:rPr>
          <w:sz w:val="22"/>
          <w:szCs w:val="22"/>
        </w:rPr>
        <w:t xml:space="preserve"> posee</w:t>
      </w:r>
      <w:r w:rsidR="002530A3" w:rsidRPr="00645C33">
        <w:rPr>
          <w:sz w:val="22"/>
          <w:szCs w:val="22"/>
        </w:rPr>
        <w:t xml:space="preserve"> un valor promedio de suelo de 10</w:t>
      </w:r>
      <w:r w:rsidRPr="00645C33">
        <w:rPr>
          <w:sz w:val="22"/>
          <w:szCs w:val="22"/>
        </w:rPr>
        <w:t>0 UF/m2. Esta cifra, sin embargo, es un promedio pues el suelo</w:t>
      </w:r>
      <w:r w:rsidR="002530A3" w:rsidRPr="00645C33">
        <w:rPr>
          <w:sz w:val="22"/>
          <w:szCs w:val="22"/>
        </w:rPr>
        <w:t xml:space="preserve"> vale 15</w:t>
      </w:r>
      <w:r w:rsidRPr="00645C33">
        <w:rPr>
          <w:sz w:val="22"/>
          <w:szCs w:val="22"/>
        </w:rPr>
        <w:t>0 UF/</w:t>
      </w:r>
      <w:r w:rsidR="002530A3" w:rsidRPr="00645C33">
        <w:rPr>
          <w:sz w:val="22"/>
          <w:szCs w:val="22"/>
        </w:rPr>
        <w:t>m2 en las zonas industriales, 5</w:t>
      </w:r>
      <w:r w:rsidRPr="00645C33">
        <w:rPr>
          <w:sz w:val="22"/>
          <w:szCs w:val="22"/>
        </w:rPr>
        <w:t xml:space="preserve">0 UF/m2 en las zonas </w:t>
      </w:r>
      <w:r w:rsidR="002530A3" w:rsidRPr="00645C33">
        <w:rPr>
          <w:sz w:val="22"/>
          <w:szCs w:val="22"/>
        </w:rPr>
        <w:t>residenciales y 100 UF/m2 en las zonas comerciales. Usted tiene un terreno de 1</w:t>
      </w:r>
      <w:r w:rsidRPr="00645C33">
        <w:rPr>
          <w:sz w:val="22"/>
          <w:szCs w:val="22"/>
        </w:rPr>
        <w:t>.000 m2</w:t>
      </w:r>
      <w:r w:rsidR="002530A3" w:rsidRPr="00645C33">
        <w:rPr>
          <w:sz w:val="22"/>
          <w:szCs w:val="22"/>
        </w:rPr>
        <w:t xml:space="preserve"> en la comuna de Santiago</w:t>
      </w:r>
      <w:r w:rsidRPr="00645C33">
        <w:rPr>
          <w:sz w:val="22"/>
          <w:szCs w:val="22"/>
        </w:rPr>
        <w:t xml:space="preserve">, donde el plano regulador, de acuerdo a la ubicación de su terreno, </w:t>
      </w:r>
      <w:r w:rsidR="002530A3" w:rsidRPr="00645C33">
        <w:rPr>
          <w:sz w:val="22"/>
          <w:szCs w:val="22"/>
        </w:rPr>
        <w:t>señala que es un sector comercial</w:t>
      </w:r>
      <w:r w:rsidRPr="00645C33">
        <w:rPr>
          <w:sz w:val="22"/>
          <w:szCs w:val="22"/>
        </w:rPr>
        <w:t>.</w:t>
      </w:r>
    </w:p>
    <w:p w14:paraId="1BBBF916" w14:textId="77777777" w:rsidR="009F241E" w:rsidRPr="00645C33" w:rsidRDefault="009F241E" w:rsidP="00DE011B">
      <w:pPr>
        <w:jc w:val="both"/>
        <w:rPr>
          <w:sz w:val="22"/>
          <w:szCs w:val="22"/>
        </w:rPr>
      </w:pPr>
    </w:p>
    <w:p w14:paraId="154F7F1C" w14:textId="77777777" w:rsidR="009F241E" w:rsidRPr="00645C33" w:rsidRDefault="009F241E" w:rsidP="00DE011B">
      <w:pPr>
        <w:jc w:val="both"/>
        <w:rPr>
          <w:b/>
          <w:sz w:val="22"/>
          <w:szCs w:val="22"/>
        </w:rPr>
      </w:pPr>
      <w:r w:rsidRPr="00645C33">
        <w:rPr>
          <w:b/>
          <w:sz w:val="22"/>
          <w:szCs w:val="22"/>
        </w:rPr>
        <w:t>Se pide:</w:t>
      </w:r>
    </w:p>
    <w:p w14:paraId="25CC1EE7" w14:textId="77777777" w:rsidR="009F241E" w:rsidRPr="00645C33" w:rsidRDefault="009F241E" w:rsidP="00DE011B">
      <w:pPr>
        <w:jc w:val="both"/>
        <w:rPr>
          <w:sz w:val="22"/>
          <w:szCs w:val="22"/>
        </w:rPr>
      </w:pPr>
    </w:p>
    <w:p w14:paraId="22CA5392" w14:textId="77777777" w:rsidR="009F241E" w:rsidRPr="00645C33" w:rsidRDefault="009F241E" w:rsidP="00DE011B">
      <w:pPr>
        <w:jc w:val="both"/>
        <w:rPr>
          <w:sz w:val="22"/>
          <w:szCs w:val="22"/>
        </w:rPr>
      </w:pPr>
      <w:r w:rsidRPr="00645C33">
        <w:rPr>
          <w:sz w:val="22"/>
          <w:szCs w:val="22"/>
        </w:rPr>
        <w:t>¿Cuál es el valor justo de su terreno bajo IFRS? Justifique su respuesta.</w:t>
      </w:r>
    </w:p>
    <w:p w14:paraId="46F4BEBD" w14:textId="77777777" w:rsidR="009F241E" w:rsidRPr="00645C33" w:rsidRDefault="009F241E" w:rsidP="00DE011B">
      <w:pPr>
        <w:jc w:val="both"/>
        <w:rPr>
          <w:sz w:val="22"/>
          <w:szCs w:val="22"/>
        </w:rPr>
      </w:pPr>
    </w:p>
    <w:p w14:paraId="36462311" w14:textId="7E81CE3D" w:rsidR="009F241E" w:rsidRPr="00645C33" w:rsidRDefault="009F241E" w:rsidP="00DE011B">
      <w:pPr>
        <w:jc w:val="both"/>
        <w:rPr>
          <w:color w:val="1F497D" w:themeColor="text2"/>
          <w:sz w:val="22"/>
          <w:szCs w:val="22"/>
        </w:rPr>
      </w:pPr>
      <w:r w:rsidRPr="00645C33">
        <w:rPr>
          <w:color w:val="1F497D" w:themeColor="text2"/>
          <w:sz w:val="22"/>
          <w:szCs w:val="22"/>
        </w:rPr>
        <w:t>El valor razonable es “el precio al que tendría lugar una transacción ordenada para vender el activo o transferir el pasivo entre participantes del mercado en la fecha de la medición en co</w:t>
      </w:r>
      <w:r w:rsidR="00A65F19" w:rsidRPr="00645C33">
        <w:rPr>
          <w:color w:val="1F497D" w:themeColor="text2"/>
          <w:sz w:val="22"/>
          <w:szCs w:val="22"/>
        </w:rPr>
        <w:t>ndiciones de mercado presentes”</w:t>
      </w:r>
    </w:p>
    <w:p w14:paraId="3BBC04D0" w14:textId="77777777" w:rsidR="009F241E" w:rsidRPr="00645C33" w:rsidRDefault="009F241E" w:rsidP="00DE011B">
      <w:pPr>
        <w:jc w:val="both"/>
        <w:rPr>
          <w:color w:val="1F497D" w:themeColor="text2"/>
          <w:sz w:val="22"/>
          <w:szCs w:val="22"/>
        </w:rPr>
      </w:pPr>
    </w:p>
    <w:p w14:paraId="37117DE6" w14:textId="57B30439" w:rsidR="009F241E" w:rsidRPr="00645C33" w:rsidRDefault="002530A3" w:rsidP="00DE011B">
      <w:pPr>
        <w:jc w:val="both"/>
        <w:rPr>
          <w:color w:val="1F497D" w:themeColor="text2"/>
          <w:sz w:val="22"/>
          <w:szCs w:val="22"/>
        </w:rPr>
      </w:pPr>
      <w:r w:rsidRPr="00645C33">
        <w:rPr>
          <w:color w:val="1F497D" w:themeColor="text2"/>
          <w:sz w:val="22"/>
          <w:szCs w:val="22"/>
        </w:rPr>
        <w:t>1</w:t>
      </w:r>
      <w:r w:rsidR="009F241E" w:rsidRPr="00645C33">
        <w:rPr>
          <w:color w:val="1F497D" w:themeColor="text2"/>
          <w:sz w:val="22"/>
          <w:szCs w:val="22"/>
        </w:rPr>
        <w:t>.000 m2 * 10</w:t>
      </w:r>
      <w:r w:rsidRPr="00645C33">
        <w:rPr>
          <w:color w:val="1F497D" w:themeColor="text2"/>
          <w:sz w:val="22"/>
          <w:szCs w:val="22"/>
        </w:rPr>
        <w:t>0 UF/m2 = 10</w:t>
      </w:r>
      <w:r w:rsidR="00A65F19" w:rsidRPr="00645C33">
        <w:rPr>
          <w:color w:val="1F497D" w:themeColor="text2"/>
          <w:sz w:val="22"/>
          <w:szCs w:val="22"/>
        </w:rPr>
        <w:t>0.000 UF</w:t>
      </w:r>
    </w:p>
    <w:p w14:paraId="3A24DEC7" w14:textId="77777777" w:rsidR="00A17E9B" w:rsidRPr="00645C33" w:rsidRDefault="00A17E9B" w:rsidP="00DE011B">
      <w:pPr>
        <w:pStyle w:val="BodyText1"/>
        <w:spacing w:after="0" w:line="240" w:lineRule="auto"/>
        <w:jc w:val="both"/>
        <w:rPr>
          <w:rFonts w:ascii="Times New Roman" w:hAnsi="Times New Roman" w:cs="Times New Roman"/>
          <w:lang w:val="es-CL"/>
        </w:rPr>
      </w:pPr>
    </w:p>
    <w:p w14:paraId="3E8B9C92" w14:textId="465CD4D8" w:rsidR="00FF693A" w:rsidRPr="00645C33" w:rsidRDefault="00A17E9B" w:rsidP="00DE011B">
      <w:pPr>
        <w:jc w:val="both"/>
        <w:rPr>
          <w:sz w:val="22"/>
          <w:szCs w:val="22"/>
        </w:rPr>
      </w:pPr>
      <w:r w:rsidRPr="00645C33">
        <w:rPr>
          <w:b/>
          <w:sz w:val="22"/>
          <w:szCs w:val="22"/>
          <w:u w:val="single"/>
          <w:lang w:val="es-ES_tradnl"/>
        </w:rPr>
        <w:t>Pre</w:t>
      </w:r>
      <w:r w:rsidRPr="00645C33">
        <w:rPr>
          <w:b/>
          <w:sz w:val="22"/>
          <w:szCs w:val="22"/>
          <w:u w:val="single"/>
        </w:rPr>
        <w:t>gunta 4</w:t>
      </w:r>
      <w:r w:rsidRPr="00645C33">
        <w:rPr>
          <w:b/>
          <w:sz w:val="22"/>
          <w:szCs w:val="22"/>
        </w:rPr>
        <w:tab/>
      </w:r>
      <w:r w:rsidR="00B260BB">
        <w:rPr>
          <w:b/>
          <w:sz w:val="22"/>
          <w:szCs w:val="22"/>
        </w:rPr>
        <w:t>8</w:t>
      </w:r>
      <w:r w:rsidRPr="00645C33">
        <w:rPr>
          <w:b/>
          <w:sz w:val="22"/>
          <w:szCs w:val="22"/>
        </w:rPr>
        <w:t xml:space="preserve"> puntos</w:t>
      </w:r>
    </w:p>
    <w:p w14:paraId="0D02733F" w14:textId="77777777" w:rsidR="00A17E9B" w:rsidRPr="00645C33" w:rsidRDefault="00A17E9B" w:rsidP="00DE011B">
      <w:pPr>
        <w:pStyle w:val="BodyText1"/>
        <w:spacing w:after="0" w:line="240" w:lineRule="auto"/>
        <w:jc w:val="both"/>
        <w:rPr>
          <w:rFonts w:ascii="Times New Roman" w:hAnsi="Times New Roman" w:cs="Times New Roman"/>
          <w:lang w:val="es-CL"/>
        </w:rPr>
      </w:pPr>
    </w:p>
    <w:p w14:paraId="320BE213" w14:textId="26029FF1" w:rsidR="00A17E9B" w:rsidRPr="00645C33" w:rsidRDefault="00B260BB" w:rsidP="00DE011B">
      <w:pPr>
        <w:pStyle w:val="ListParagraph"/>
        <w:numPr>
          <w:ilvl w:val="0"/>
          <w:numId w:val="15"/>
        </w:numPr>
        <w:spacing w:after="0" w:line="240" w:lineRule="auto"/>
        <w:ind w:left="357" w:hanging="357"/>
        <w:contextualSpacing w:val="0"/>
        <w:jc w:val="both"/>
        <w:rPr>
          <w:rFonts w:ascii="Times New Roman" w:hAnsi="Times New Roman"/>
          <w:b/>
          <w:lang w:val="es-CL"/>
        </w:rPr>
      </w:pPr>
      <w:r>
        <w:rPr>
          <w:rFonts w:ascii="Times New Roman" w:hAnsi="Times New Roman"/>
          <w:b/>
          <w:lang w:val="es-CL"/>
        </w:rPr>
        <w:t>(4</w:t>
      </w:r>
      <w:r w:rsidR="00A17E9B" w:rsidRPr="00645C33">
        <w:rPr>
          <w:rFonts w:ascii="Times New Roman" w:hAnsi="Times New Roman"/>
          <w:b/>
          <w:lang w:val="es-CL"/>
        </w:rPr>
        <w:t xml:space="preserve"> puntos) </w:t>
      </w:r>
      <w:r w:rsidR="00A17E9B" w:rsidRPr="00645C33">
        <w:rPr>
          <w:rFonts w:ascii="Times New Roman" w:hAnsi="Times New Roman"/>
          <w:lang w:val="es-CL" w:eastAsia="es-CL"/>
        </w:rPr>
        <w:t>Mencione 3 reportes de los Estados Financiero</w:t>
      </w:r>
    </w:p>
    <w:p w14:paraId="4C254925" w14:textId="77777777" w:rsidR="003642CC" w:rsidRPr="00645C33" w:rsidRDefault="003642CC" w:rsidP="00DE011B">
      <w:pPr>
        <w:jc w:val="both"/>
        <w:rPr>
          <w:b/>
          <w:sz w:val="22"/>
          <w:szCs w:val="22"/>
        </w:rPr>
      </w:pPr>
    </w:p>
    <w:p w14:paraId="0CECB07F" w14:textId="2030FA66" w:rsidR="00A17E9B" w:rsidRPr="00645C33" w:rsidRDefault="00A65F19" w:rsidP="00DE011B">
      <w:pPr>
        <w:jc w:val="both"/>
        <w:rPr>
          <w:color w:val="1F497D" w:themeColor="text2"/>
          <w:sz w:val="22"/>
          <w:szCs w:val="22"/>
        </w:rPr>
      </w:pPr>
      <w:r w:rsidRPr="00645C33">
        <w:rPr>
          <w:color w:val="1F497D" w:themeColor="text2"/>
          <w:sz w:val="22"/>
          <w:szCs w:val="22"/>
        </w:rPr>
        <w:t>Estados de Situación Financiera</w:t>
      </w:r>
    </w:p>
    <w:p w14:paraId="6F3BB773" w14:textId="7B38BA24" w:rsidR="00A17E9B" w:rsidRPr="00645C33" w:rsidRDefault="00A65F19" w:rsidP="00DE011B">
      <w:pPr>
        <w:jc w:val="both"/>
        <w:rPr>
          <w:color w:val="1F497D" w:themeColor="text2"/>
          <w:sz w:val="22"/>
          <w:szCs w:val="22"/>
        </w:rPr>
      </w:pPr>
      <w:r w:rsidRPr="00645C33">
        <w:rPr>
          <w:color w:val="1F497D" w:themeColor="text2"/>
          <w:sz w:val="22"/>
          <w:szCs w:val="22"/>
        </w:rPr>
        <w:t>Estados de Resultado Integral</w:t>
      </w:r>
    </w:p>
    <w:p w14:paraId="60F9A346" w14:textId="0CCF7295" w:rsidR="00A17E9B" w:rsidRPr="00645C33" w:rsidRDefault="00A17E9B" w:rsidP="00DE011B">
      <w:pPr>
        <w:jc w:val="both"/>
        <w:rPr>
          <w:color w:val="1F497D" w:themeColor="text2"/>
          <w:sz w:val="22"/>
          <w:szCs w:val="22"/>
        </w:rPr>
      </w:pPr>
      <w:r w:rsidRPr="00645C33">
        <w:rPr>
          <w:color w:val="1F497D" w:themeColor="text2"/>
          <w:sz w:val="22"/>
          <w:szCs w:val="22"/>
        </w:rPr>
        <w:t>E</w:t>
      </w:r>
      <w:r w:rsidR="00A65F19" w:rsidRPr="00645C33">
        <w:rPr>
          <w:color w:val="1F497D" w:themeColor="text2"/>
          <w:sz w:val="22"/>
          <w:szCs w:val="22"/>
        </w:rPr>
        <w:t>stados de Cambios en Patrimonio</w:t>
      </w:r>
    </w:p>
    <w:p w14:paraId="63F98EDE" w14:textId="77777777" w:rsidR="00A17E9B" w:rsidRPr="00645C33" w:rsidRDefault="00A17E9B" w:rsidP="00DE011B">
      <w:pPr>
        <w:jc w:val="both"/>
        <w:rPr>
          <w:color w:val="1F497D" w:themeColor="text2"/>
          <w:sz w:val="22"/>
          <w:szCs w:val="22"/>
        </w:rPr>
      </w:pPr>
      <w:r w:rsidRPr="00645C33">
        <w:rPr>
          <w:color w:val="1F497D" w:themeColor="text2"/>
          <w:sz w:val="22"/>
          <w:szCs w:val="22"/>
        </w:rPr>
        <w:t>Estados de Flujo de Efectivo</w:t>
      </w:r>
    </w:p>
    <w:p w14:paraId="77EABDB3" w14:textId="77777777" w:rsidR="00A17E9B" w:rsidRPr="00645C33" w:rsidRDefault="00A17E9B" w:rsidP="00DE011B">
      <w:pPr>
        <w:jc w:val="both"/>
        <w:rPr>
          <w:color w:val="1F497D" w:themeColor="text2"/>
          <w:sz w:val="22"/>
          <w:szCs w:val="22"/>
        </w:rPr>
      </w:pPr>
      <w:r w:rsidRPr="00645C33">
        <w:rPr>
          <w:color w:val="1F497D" w:themeColor="text2"/>
          <w:sz w:val="22"/>
          <w:szCs w:val="22"/>
        </w:rPr>
        <w:t>Notas Estados Financieros</w:t>
      </w:r>
    </w:p>
    <w:p w14:paraId="56A5A3C8" w14:textId="77777777" w:rsidR="003642CC" w:rsidRPr="00645C33" w:rsidRDefault="003642CC" w:rsidP="00DE011B">
      <w:pPr>
        <w:jc w:val="both"/>
        <w:rPr>
          <w:color w:val="1F497D" w:themeColor="text2"/>
          <w:sz w:val="22"/>
          <w:szCs w:val="22"/>
        </w:rPr>
      </w:pPr>
    </w:p>
    <w:p w14:paraId="70062FCB" w14:textId="2358A12F" w:rsidR="0060436E" w:rsidRPr="00645C33" w:rsidRDefault="00B260BB" w:rsidP="00DE011B">
      <w:pPr>
        <w:pStyle w:val="ListParagraph"/>
        <w:numPr>
          <w:ilvl w:val="0"/>
          <w:numId w:val="15"/>
        </w:numPr>
        <w:spacing w:after="0" w:line="240" w:lineRule="auto"/>
        <w:ind w:left="357" w:hanging="357"/>
        <w:contextualSpacing w:val="0"/>
        <w:jc w:val="both"/>
        <w:rPr>
          <w:rFonts w:ascii="Times New Roman" w:hAnsi="Times New Roman"/>
          <w:lang w:val="es-CL"/>
        </w:rPr>
      </w:pPr>
      <w:r>
        <w:rPr>
          <w:rFonts w:ascii="Times New Roman" w:hAnsi="Times New Roman"/>
          <w:b/>
          <w:lang w:val="es-CL"/>
        </w:rPr>
        <w:t>(4</w:t>
      </w:r>
      <w:r w:rsidR="00A65F19" w:rsidRPr="00645C33">
        <w:rPr>
          <w:rFonts w:ascii="Times New Roman" w:hAnsi="Times New Roman"/>
          <w:b/>
          <w:lang w:val="es-CL"/>
        </w:rPr>
        <w:t xml:space="preserve"> </w:t>
      </w:r>
      <w:r w:rsidR="00A17E9B" w:rsidRPr="00645C33">
        <w:rPr>
          <w:rFonts w:ascii="Times New Roman" w:hAnsi="Times New Roman"/>
          <w:b/>
          <w:lang w:val="es-CL"/>
        </w:rPr>
        <w:t xml:space="preserve">puntos) </w:t>
      </w:r>
      <w:r w:rsidR="0060436E" w:rsidRPr="00645C33">
        <w:rPr>
          <w:rFonts w:ascii="Times New Roman" w:hAnsi="Times New Roman"/>
          <w:b/>
          <w:lang w:val="es-CL"/>
        </w:rPr>
        <w:t xml:space="preserve"> </w:t>
      </w:r>
      <w:r w:rsidR="0060436E" w:rsidRPr="00645C33">
        <w:rPr>
          <w:rFonts w:ascii="Times New Roman" w:hAnsi="Times New Roman"/>
          <w:lang w:val="es-CL" w:eastAsia="es-CL"/>
        </w:rPr>
        <w:t>¿Qué son las IAS, IFRIC, SIC y las IFRS?</w:t>
      </w:r>
    </w:p>
    <w:p w14:paraId="31DDEE17" w14:textId="77777777" w:rsidR="00A65F19" w:rsidRPr="00B260BB" w:rsidRDefault="00A65F19" w:rsidP="00DE011B">
      <w:pPr>
        <w:jc w:val="both"/>
        <w:rPr>
          <w:color w:val="1F497D" w:themeColor="text2"/>
          <w:sz w:val="22"/>
          <w:szCs w:val="22"/>
        </w:rPr>
      </w:pPr>
    </w:p>
    <w:p w14:paraId="5A999BC2" w14:textId="33F92C1B" w:rsidR="0060436E" w:rsidRPr="00B260BB" w:rsidRDefault="0060436E" w:rsidP="00DE011B">
      <w:pPr>
        <w:jc w:val="both"/>
        <w:rPr>
          <w:color w:val="1F497D" w:themeColor="text2"/>
          <w:sz w:val="22"/>
          <w:szCs w:val="22"/>
        </w:rPr>
      </w:pPr>
      <w:r w:rsidRPr="00B260BB">
        <w:rPr>
          <w:color w:val="1F497D" w:themeColor="text2"/>
          <w:sz w:val="22"/>
          <w:szCs w:val="22"/>
        </w:rPr>
        <w:t xml:space="preserve">IAS e IFRS, son la respuesta a la necesidad de los mercados de capitales de contar con un lenguaje financiero común, ayudando a mejorar la transparencia y comparabilidad de la información financiera a nivel global. </w:t>
      </w:r>
    </w:p>
    <w:p w14:paraId="791DD090" w14:textId="77777777" w:rsidR="0060436E" w:rsidRPr="00B260BB" w:rsidRDefault="0060436E" w:rsidP="00DE011B">
      <w:pPr>
        <w:jc w:val="both"/>
        <w:rPr>
          <w:color w:val="1F497D" w:themeColor="text2"/>
          <w:sz w:val="22"/>
          <w:szCs w:val="22"/>
        </w:rPr>
      </w:pPr>
    </w:p>
    <w:p w14:paraId="07D70C77" w14:textId="2A35F3CA" w:rsidR="0060436E" w:rsidRPr="00B260BB" w:rsidRDefault="0060436E" w:rsidP="00DE011B">
      <w:pPr>
        <w:jc w:val="both"/>
        <w:rPr>
          <w:color w:val="1F497D" w:themeColor="text2"/>
          <w:sz w:val="22"/>
          <w:szCs w:val="22"/>
        </w:rPr>
      </w:pPr>
      <w:r w:rsidRPr="00B260BB">
        <w:rPr>
          <w:color w:val="1F497D" w:themeColor="text2"/>
          <w:sz w:val="22"/>
          <w:szCs w:val="22"/>
        </w:rPr>
        <w:t>Las IFRIC y SIC, son las interpretaciones de las IFRS y NIC respectivamente</w:t>
      </w:r>
    </w:p>
    <w:p w14:paraId="731EC831" w14:textId="77777777" w:rsidR="005E2323" w:rsidRPr="00645C33" w:rsidRDefault="005E2323" w:rsidP="00DE011B">
      <w:pPr>
        <w:pStyle w:val="BodyText1"/>
        <w:spacing w:after="0" w:line="240" w:lineRule="auto"/>
        <w:jc w:val="both"/>
        <w:rPr>
          <w:rFonts w:ascii="Times New Roman" w:hAnsi="Times New Roman" w:cs="Times New Roman"/>
          <w:lang w:val="es-CL"/>
        </w:rPr>
      </w:pPr>
    </w:p>
    <w:p w14:paraId="7EF302FF" w14:textId="012F782D" w:rsidR="005E2323" w:rsidRPr="00645C33" w:rsidRDefault="005E2323" w:rsidP="00DE011B">
      <w:pPr>
        <w:jc w:val="both"/>
        <w:rPr>
          <w:b/>
          <w:sz w:val="22"/>
          <w:szCs w:val="22"/>
          <w:u w:val="single"/>
          <w:lang w:val="es-ES_tradnl"/>
        </w:rPr>
      </w:pPr>
      <w:r w:rsidRPr="00645C33">
        <w:rPr>
          <w:b/>
          <w:sz w:val="22"/>
          <w:szCs w:val="22"/>
          <w:u w:val="single"/>
          <w:lang w:val="es-ES_tradnl"/>
        </w:rPr>
        <w:t xml:space="preserve">Pregunta </w:t>
      </w:r>
      <w:r w:rsidR="006C1511" w:rsidRPr="00645C33">
        <w:rPr>
          <w:b/>
          <w:sz w:val="22"/>
          <w:szCs w:val="22"/>
          <w:u w:val="single"/>
          <w:lang w:val="es-ES_tradnl"/>
        </w:rPr>
        <w:t>5</w:t>
      </w:r>
      <w:r w:rsidRPr="00645C33">
        <w:rPr>
          <w:b/>
          <w:sz w:val="22"/>
          <w:szCs w:val="22"/>
          <w:lang w:val="es-ES_tradnl"/>
        </w:rPr>
        <w:tab/>
      </w:r>
      <w:r w:rsidR="00567C62">
        <w:rPr>
          <w:b/>
          <w:sz w:val="22"/>
          <w:szCs w:val="22"/>
          <w:lang w:val="es-ES_tradnl"/>
        </w:rPr>
        <w:t>18</w:t>
      </w:r>
      <w:r w:rsidRPr="00645C33">
        <w:rPr>
          <w:b/>
          <w:sz w:val="22"/>
          <w:szCs w:val="22"/>
          <w:lang w:val="es-ES_tradnl"/>
        </w:rPr>
        <w:t xml:space="preserve"> puntos</w:t>
      </w:r>
    </w:p>
    <w:p w14:paraId="4BC6F2F0" w14:textId="77777777" w:rsidR="005E2323" w:rsidRPr="00645C33" w:rsidRDefault="005E2323" w:rsidP="00DE011B">
      <w:pPr>
        <w:jc w:val="both"/>
        <w:rPr>
          <w:sz w:val="22"/>
          <w:szCs w:val="22"/>
        </w:rPr>
      </w:pPr>
    </w:p>
    <w:p w14:paraId="2A62B63C" w14:textId="77777777" w:rsidR="005E2323" w:rsidRPr="00645C33" w:rsidRDefault="005E2323" w:rsidP="00DE011B">
      <w:pPr>
        <w:jc w:val="both"/>
        <w:rPr>
          <w:sz w:val="22"/>
          <w:szCs w:val="22"/>
        </w:rPr>
      </w:pPr>
      <w:r w:rsidRPr="00645C33">
        <w:rPr>
          <w:sz w:val="22"/>
          <w:szCs w:val="22"/>
        </w:rPr>
        <w:t>Inmobiliaria ABC (“IABC”) se dedica al desarrollo inmobiliario enfocado en casas y departamentos habitacionales. IABC está apostando por el desarrollo del sector sur de Santiago, en los alrededores de Buin y Paine, localidades que pronto contarán con una mayor conectividad. Debido a ello, IABC adquirió algunos terrenos durante el año 2015 para utilizarlos en el futuro para los cuales se tiene la siguiente información:</w:t>
      </w:r>
    </w:p>
    <w:p w14:paraId="27F5D57E" w14:textId="77777777" w:rsidR="005E2323" w:rsidRPr="00645C33" w:rsidRDefault="005E2323" w:rsidP="00DE011B">
      <w:pPr>
        <w:jc w:val="both"/>
        <w:rPr>
          <w:sz w:val="22"/>
          <w:szCs w:val="22"/>
        </w:rPr>
      </w:pPr>
    </w:p>
    <w:tbl>
      <w:tblPr>
        <w:tblStyle w:val="TableGrid"/>
        <w:tblW w:w="0" w:type="auto"/>
        <w:tblLook w:val="04A0" w:firstRow="1" w:lastRow="0" w:firstColumn="1" w:lastColumn="0" w:noHBand="0" w:noVBand="1"/>
      </w:tblPr>
      <w:tblGrid>
        <w:gridCol w:w="1765"/>
        <w:gridCol w:w="1765"/>
        <w:gridCol w:w="1766"/>
        <w:gridCol w:w="1766"/>
        <w:gridCol w:w="1766"/>
      </w:tblGrid>
      <w:tr w:rsidR="005E2323" w:rsidRPr="00645C33" w14:paraId="189BDCCB" w14:textId="77777777" w:rsidTr="003B547C">
        <w:tc>
          <w:tcPr>
            <w:tcW w:w="1765" w:type="dxa"/>
          </w:tcPr>
          <w:p w14:paraId="1D0C175F" w14:textId="77777777" w:rsidR="005E2323" w:rsidRPr="00645C33" w:rsidRDefault="005E2323" w:rsidP="00DE011B">
            <w:pPr>
              <w:jc w:val="both"/>
              <w:rPr>
                <w:sz w:val="22"/>
                <w:szCs w:val="22"/>
              </w:rPr>
            </w:pPr>
            <w:r w:rsidRPr="00645C33">
              <w:rPr>
                <w:sz w:val="22"/>
                <w:szCs w:val="22"/>
              </w:rPr>
              <w:t>Terreno</w:t>
            </w:r>
          </w:p>
        </w:tc>
        <w:tc>
          <w:tcPr>
            <w:tcW w:w="1765" w:type="dxa"/>
          </w:tcPr>
          <w:p w14:paraId="73E94DC2" w14:textId="77777777" w:rsidR="005E2323" w:rsidRPr="00645C33" w:rsidRDefault="005E2323" w:rsidP="00DE011B">
            <w:pPr>
              <w:jc w:val="both"/>
              <w:rPr>
                <w:sz w:val="22"/>
                <w:szCs w:val="22"/>
              </w:rPr>
            </w:pPr>
            <w:r w:rsidRPr="00645C33">
              <w:rPr>
                <w:sz w:val="22"/>
                <w:szCs w:val="22"/>
              </w:rPr>
              <w:t>Localidad</w:t>
            </w:r>
          </w:p>
        </w:tc>
        <w:tc>
          <w:tcPr>
            <w:tcW w:w="1766" w:type="dxa"/>
          </w:tcPr>
          <w:p w14:paraId="5858F8CC" w14:textId="77777777" w:rsidR="005E2323" w:rsidRPr="00645C33" w:rsidRDefault="005E2323" w:rsidP="00DE011B">
            <w:pPr>
              <w:jc w:val="both"/>
              <w:rPr>
                <w:sz w:val="22"/>
                <w:szCs w:val="22"/>
              </w:rPr>
            </w:pPr>
            <w:r w:rsidRPr="00645C33">
              <w:rPr>
                <w:sz w:val="22"/>
                <w:szCs w:val="22"/>
              </w:rPr>
              <w:t>Superficie (hectáreas)</w:t>
            </w:r>
          </w:p>
        </w:tc>
        <w:tc>
          <w:tcPr>
            <w:tcW w:w="1766" w:type="dxa"/>
          </w:tcPr>
          <w:p w14:paraId="684D848C" w14:textId="77777777" w:rsidR="005E2323" w:rsidRPr="00645C33" w:rsidRDefault="005E2323" w:rsidP="00DE011B">
            <w:pPr>
              <w:jc w:val="both"/>
              <w:rPr>
                <w:sz w:val="22"/>
                <w:szCs w:val="22"/>
              </w:rPr>
            </w:pPr>
            <w:r w:rsidRPr="00645C33">
              <w:rPr>
                <w:sz w:val="22"/>
                <w:szCs w:val="22"/>
              </w:rPr>
              <w:t>Valor libros al 31 de diciembre de 2015 (total)($)</w:t>
            </w:r>
          </w:p>
        </w:tc>
        <w:tc>
          <w:tcPr>
            <w:tcW w:w="1766" w:type="dxa"/>
          </w:tcPr>
          <w:p w14:paraId="00E2D1EB" w14:textId="77777777" w:rsidR="005E2323" w:rsidRPr="00645C33" w:rsidRDefault="005E2323" w:rsidP="00DE011B">
            <w:pPr>
              <w:jc w:val="both"/>
              <w:rPr>
                <w:sz w:val="22"/>
                <w:szCs w:val="22"/>
              </w:rPr>
            </w:pPr>
            <w:r w:rsidRPr="00645C33">
              <w:rPr>
                <w:sz w:val="22"/>
                <w:szCs w:val="22"/>
              </w:rPr>
              <w:t>Valor justo al 31 de diciembre de 2016 (por hectárea)($)</w:t>
            </w:r>
          </w:p>
        </w:tc>
      </w:tr>
      <w:tr w:rsidR="005E2323" w:rsidRPr="00645C33" w14:paraId="2E165A42" w14:textId="77777777" w:rsidTr="003B547C">
        <w:tc>
          <w:tcPr>
            <w:tcW w:w="1765" w:type="dxa"/>
          </w:tcPr>
          <w:p w14:paraId="2E7228F9" w14:textId="77777777" w:rsidR="005E2323" w:rsidRPr="00645C33" w:rsidRDefault="005E2323" w:rsidP="00DE011B">
            <w:pPr>
              <w:jc w:val="both"/>
              <w:rPr>
                <w:sz w:val="22"/>
                <w:szCs w:val="22"/>
              </w:rPr>
            </w:pPr>
            <w:r w:rsidRPr="00645C33">
              <w:rPr>
                <w:sz w:val="22"/>
                <w:szCs w:val="22"/>
              </w:rPr>
              <w:t>1</w:t>
            </w:r>
          </w:p>
        </w:tc>
        <w:tc>
          <w:tcPr>
            <w:tcW w:w="1765" w:type="dxa"/>
          </w:tcPr>
          <w:p w14:paraId="6C9A9389" w14:textId="77777777" w:rsidR="005E2323" w:rsidRPr="00645C33" w:rsidRDefault="005E2323" w:rsidP="00DE011B">
            <w:pPr>
              <w:jc w:val="both"/>
              <w:rPr>
                <w:sz w:val="22"/>
                <w:szCs w:val="22"/>
              </w:rPr>
            </w:pPr>
            <w:r w:rsidRPr="00645C33">
              <w:rPr>
                <w:sz w:val="22"/>
                <w:szCs w:val="22"/>
              </w:rPr>
              <w:t>Buin</w:t>
            </w:r>
          </w:p>
        </w:tc>
        <w:tc>
          <w:tcPr>
            <w:tcW w:w="1766" w:type="dxa"/>
          </w:tcPr>
          <w:p w14:paraId="011AE460" w14:textId="77777777" w:rsidR="005E2323" w:rsidRPr="00645C33" w:rsidRDefault="005E2323" w:rsidP="00DE011B">
            <w:pPr>
              <w:jc w:val="both"/>
              <w:rPr>
                <w:sz w:val="22"/>
                <w:szCs w:val="22"/>
              </w:rPr>
            </w:pPr>
            <w:r w:rsidRPr="00645C33">
              <w:rPr>
                <w:sz w:val="22"/>
                <w:szCs w:val="22"/>
              </w:rPr>
              <w:t>60</w:t>
            </w:r>
          </w:p>
        </w:tc>
        <w:tc>
          <w:tcPr>
            <w:tcW w:w="1766" w:type="dxa"/>
          </w:tcPr>
          <w:p w14:paraId="7FB7DA76" w14:textId="77777777" w:rsidR="005E2323" w:rsidRPr="00645C33" w:rsidRDefault="005E2323" w:rsidP="00DE011B">
            <w:pPr>
              <w:jc w:val="both"/>
              <w:rPr>
                <w:sz w:val="22"/>
                <w:szCs w:val="22"/>
              </w:rPr>
            </w:pPr>
            <w:r w:rsidRPr="00645C33">
              <w:rPr>
                <w:sz w:val="22"/>
                <w:szCs w:val="22"/>
              </w:rPr>
              <w:t>1.380.000.000</w:t>
            </w:r>
          </w:p>
        </w:tc>
        <w:tc>
          <w:tcPr>
            <w:tcW w:w="1766" w:type="dxa"/>
          </w:tcPr>
          <w:p w14:paraId="4B44EBC9" w14:textId="77777777" w:rsidR="005E2323" w:rsidRPr="00645C33" w:rsidRDefault="005E2323" w:rsidP="00DE011B">
            <w:pPr>
              <w:jc w:val="both"/>
              <w:rPr>
                <w:sz w:val="22"/>
                <w:szCs w:val="22"/>
              </w:rPr>
            </w:pPr>
            <w:r w:rsidRPr="00645C33">
              <w:rPr>
                <w:sz w:val="22"/>
                <w:szCs w:val="22"/>
              </w:rPr>
              <w:t>25.000.000</w:t>
            </w:r>
          </w:p>
        </w:tc>
      </w:tr>
      <w:tr w:rsidR="005E2323" w:rsidRPr="00645C33" w14:paraId="2B4861AD" w14:textId="77777777" w:rsidTr="003B547C">
        <w:tc>
          <w:tcPr>
            <w:tcW w:w="1765" w:type="dxa"/>
          </w:tcPr>
          <w:p w14:paraId="2A916075" w14:textId="77777777" w:rsidR="005E2323" w:rsidRPr="00645C33" w:rsidRDefault="005E2323" w:rsidP="00DE011B">
            <w:pPr>
              <w:jc w:val="both"/>
              <w:rPr>
                <w:sz w:val="22"/>
                <w:szCs w:val="22"/>
              </w:rPr>
            </w:pPr>
            <w:r w:rsidRPr="00645C33">
              <w:rPr>
                <w:sz w:val="22"/>
                <w:szCs w:val="22"/>
              </w:rPr>
              <w:t>2</w:t>
            </w:r>
          </w:p>
        </w:tc>
        <w:tc>
          <w:tcPr>
            <w:tcW w:w="1765" w:type="dxa"/>
          </w:tcPr>
          <w:p w14:paraId="262E311C" w14:textId="77777777" w:rsidR="005E2323" w:rsidRPr="00645C33" w:rsidRDefault="005E2323" w:rsidP="00DE011B">
            <w:pPr>
              <w:jc w:val="both"/>
              <w:rPr>
                <w:sz w:val="22"/>
                <w:szCs w:val="22"/>
              </w:rPr>
            </w:pPr>
            <w:r w:rsidRPr="00645C33">
              <w:rPr>
                <w:sz w:val="22"/>
                <w:szCs w:val="22"/>
              </w:rPr>
              <w:t>Paine</w:t>
            </w:r>
          </w:p>
        </w:tc>
        <w:tc>
          <w:tcPr>
            <w:tcW w:w="1766" w:type="dxa"/>
          </w:tcPr>
          <w:p w14:paraId="551ED962" w14:textId="77777777" w:rsidR="005E2323" w:rsidRPr="00645C33" w:rsidRDefault="005E2323" w:rsidP="00DE011B">
            <w:pPr>
              <w:jc w:val="both"/>
              <w:rPr>
                <w:sz w:val="22"/>
                <w:szCs w:val="22"/>
              </w:rPr>
            </w:pPr>
            <w:r w:rsidRPr="00645C33">
              <w:rPr>
                <w:sz w:val="22"/>
                <w:szCs w:val="22"/>
              </w:rPr>
              <w:t>110</w:t>
            </w:r>
          </w:p>
        </w:tc>
        <w:tc>
          <w:tcPr>
            <w:tcW w:w="1766" w:type="dxa"/>
          </w:tcPr>
          <w:p w14:paraId="1B86791E" w14:textId="77777777" w:rsidR="005E2323" w:rsidRPr="00645C33" w:rsidRDefault="005E2323" w:rsidP="00DE011B">
            <w:pPr>
              <w:jc w:val="both"/>
              <w:rPr>
                <w:sz w:val="22"/>
                <w:szCs w:val="22"/>
              </w:rPr>
            </w:pPr>
            <w:r w:rsidRPr="00645C33">
              <w:rPr>
                <w:sz w:val="22"/>
                <w:szCs w:val="22"/>
              </w:rPr>
              <w:t>2.090.000.000</w:t>
            </w:r>
          </w:p>
        </w:tc>
        <w:tc>
          <w:tcPr>
            <w:tcW w:w="1766" w:type="dxa"/>
          </w:tcPr>
          <w:p w14:paraId="10E138B0" w14:textId="77777777" w:rsidR="005E2323" w:rsidRPr="00645C33" w:rsidRDefault="005E2323" w:rsidP="00DE011B">
            <w:pPr>
              <w:jc w:val="both"/>
              <w:rPr>
                <w:sz w:val="22"/>
                <w:szCs w:val="22"/>
              </w:rPr>
            </w:pPr>
            <w:r w:rsidRPr="00645C33">
              <w:rPr>
                <w:sz w:val="22"/>
                <w:szCs w:val="22"/>
              </w:rPr>
              <w:t>19.500.000</w:t>
            </w:r>
          </w:p>
        </w:tc>
      </w:tr>
      <w:tr w:rsidR="005E2323" w:rsidRPr="00645C33" w14:paraId="5F40E54C" w14:textId="77777777" w:rsidTr="003B547C">
        <w:tc>
          <w:tcPr>
            <w:tcW w:w="1765" w:type="dxa"/>
          </w:tcPr>
          <w:p w14:paraId="12D7E3FF" w14:textId="77777777" w:rsidR="005E2323" w:rsidRPr="00645C33" w:rsidRDefault="005E2323" w:rsidP="00DE011B">
            <w:pPr>
              <w:jc w:val="both"/>
              <w:rPr>
                <w:sz w:val="22"/>
                <w:szCs w:val="22"/>
              </w:rPr>
            </w:pPr>
            <w:r w:rsidRPr="00645C33">
              <w:rPr>
                <w:sz w:val="22"/>
                <w:szCs w:val="22"/>
              </w:rPr>
              <w:t>3</w:t>
            </w:r>
          </w:p>
        </w:tc>
        <w:tc>
          <w:tcPr>
            <w:tcW w:w="1765" w:type="dxa"/>
          </w:tcPr>
          <w:p w14:paraId="7F525F50" w14:textId="77777777" w:rsidR="005E2323" w:rsidRPr="00645C33" w:rsidRDefault="005E2323" w:rsidP="00DE011B">
            <w:pPr>
              <w:jc w:val="both"/>
              <w:rPr>
                <w:sz w:val="22"/>
                <w:szCs w:val="22"/>
              </w:rPr>
            </w:pPr>
            <w:r w:rsidRPr="00645C33">
              <w:rPr>
                <w:sz w:val="22"/>
                <w:szCs w:val="22"/>
              </w:rPr>
              <w:t>Paine interior</w:t>
            </w:r>
          </w:p>
        </w:tc>
        <w:tc>
          <w:tcPr>
            <w:tcW w:w="1766" w:type="dxa"/>
          </w:tcPr>
          <w:p w14:paraId="161F6A50" w14:textId="77777777" w:rsidR="005E2323" w:rsidRPr="00645C33" w:rsidRDefault="005E2323" w:rsidP="00DE011B">
            <w:pPr>
              <w:jc w:val="both"/>
              <w:rPr>
                <w:sz w:val="22"/>
                <w:szCs w:val="22"/>
              </w:rPr>
            </w:pPr>
            <w:r w:rsidRPr="00645C33">
              <w:rPr>
                <w:sz w:val="22"/>
                <w:szCs w:val="22"/>
              </w:rPr>
              <w:t>15</w:t>
            </w:r>
          </w:p>
        </w:tc>
        <w:tc>
          <w:tcPr>
            <w:tcW w:w="1766" w:type="dxa"/>
          </w:tcPr>
          <w:p w14:paraId="4E3E486B" w14:textId="77777777" w:rsidR="005E2323" w:rsidRPr="00645C33" w:rsidRDefault="005E2323" w:rsidP="00DE011B">
            <w:pPr>
              <w:jc w:val="both"/>
              <w:rPr>
                <w:sz w:val="22"/>
                <w:szCs w:val="22"/>
              </w:rPr>
            </w:pPr>
            <w:r w:rsidRPr="00645C33">
              <w:rPr>
                <w:sz w:val="22"/>
                <w:szCs w:val="22"/>
              </w:rPr>
              <w:t>240.000.000</w:t>
            </w:r>
          </w:p>
        </w:tc>
        <w:tc>
          <w:tcPr>
            <w:tcW w:w="1766" w:type="dxa"/>
          </w:tcPr>
          <w:p w14:paraId="466D040B" w14:textId="2749201F" w:rsidR="005E2323" w:rsidRPr="00645C33" w:rsidRDefault="0067115D" w:rsidP="00DE011B">
            <w:pPr>
              <w:jc w:val="both"/>
              <w:rPr>
                <w:sz w:val="22"/>
                <w:szCs w:val="22"/>
              </w:rPr>
            </w:pPr>
            <w:r w:rsidRPr="00645C33">
              <w:rPr>
                <w:sz w:val="22"/>
                <w:szCs w:val="22"/>
              </w:rPr>
              <w:t>1</w:t>
            </w:r>
            <w:r w:rsidR="005E2323" w:rsidRPr="00645C33">
              <w:rPr>
                <w:sz w:val="22"/>
                <w:szCs w:val="22"/>
              </w:rPr>
              <w:t>5.000.000</w:t>
            </w:r>
          </w:p>
        </w:tc>
      </w:tr>
    </w:tbl>
    <w:p w14:paraId="57A98381" w14:textId="77777777" w:rsidR="005E2323" w:rsidRPr="00645C33" w:rsidRDefault="005E2323" w:rsidP="00DE011B">
      <w:pPr>
        <w:jc w:val="both"/>
        <w:rPr>
          <w:sz w:val="22"/>
          <w:szCs w:val="22"/>
        </w:rPr>
      </w:pPr>
    </w:p>
    <w:p w14:paraId="1D26BF1C" w14:textId="77777777" w:rsidR="005E2323" w:rsidRPr="00645C33" w:rsidRDefault="005E2323" w:rsidP="00DE011B">
      <w:pPr>
        <w:jc w:val="both"/>
        <w:rPr>
          <w:sz w:val="22"/>
          <w:szCs w:val="22"/>
        </w:rPr>
      </w:pPr>
      <w:r w:rsidRPr="00645C33">
        <w:rPr>
          <w:sz w:val="22"/>
          <w:szCs w:val="22"/>
        </w:rPr>
        <w:t>Se sabe que IABC utiliza el método del valor justo para sus propiedades de inversión. Además, asuma para este ejercicio que todas las hectáreas de un mismo terreno tienen el mismo valor. Durante el año 2016 ocurrieron los siguientes hechos:</w:t>
      </w:r>
    </w:p>
    <w:p w14:paraId="727E6771" w14:textId="77777777" w:rsidR="005E2323" w:rsidRPr="00645C33" w:rsidRDefault="005E2323" w:rsidP="00DE011B">
      <w:pPr>
        <w:jc w:val="both"/>
        <w:rPr>
          <w:sz w:val="22"/>
          <w:szCs w:val="22"/>
        </w:rPr>
      </w:pPr>
    </w:p>
    <w:p w14:paraId="765344D2" w14:textId="77777777" w:rsidR="005E2323" w:rsidRPr="00645C33" w:rsidRDefault="005E2323" w:rsidP="00DE011B">
      <w:pPr>
        <w:pStyle w:val="ListParagraph"/>
        <w:numPr>
          <w:ilvl w:val="0"/>
          <w:numId w:val="16"/>
        </w:numPr>
        <w:spacing w:after="0" w:line="240" w:lineRule="auto"/>
        <w:jc w:val="both"/>
        <w:rPr>
          <w:rFonts w:ascii="Times New Roman" w:hAnsi="Times New Roman"/>
          <w:lang w:val="es-CL" w:eastAsia="es-CL"/>
        </w:rPr>
      </w:pPr>
      <w:r w:rsidRPr="00645C33">
        <w:rPr>
          <w:rFonts w:ascii="Times New Roman" w:hAnsi="Times New Roman"/>
          <w:lang w:val="es-CL" w:eastAsia="es-CL"/>
        </w:rPr>
        <w:t>El terreno en Buin tiene una porción adjunta a la carretera. Es por ello que el 30 de septiembre de 2016 IABC decide utilizar 4 hectáreas del mismo para construir un strip center. El valor justo de cada hectárea en esa fecha es de $24.500.000. Durante los últimos 3 meses del año 2016 IABC no realiza inversión alguna en el proyecto de strip center ya que se encuentra estudiando las alternativas y obteniendo los permisos. IABC espera iniciar la construcción del mismo durante enero de 2017 y concluirlo a mediados del año 2018. El objetivo de IABC una vez completada la construcción es arrendar los locales comerciales.</w:t>
      </w:r>
    </w:p>
    <w:p w14:paraId="73842658" w14:textId="77777777" w:rsidR="005E2323" w:rsidRPr="00645C33" w:rsidRDefault="005E2323" w:rsidP="00DE011B">
      <w:pPr>
        <w:pStyle w:val="ListParagraph"/>
        <w:numPr>
          <w:ilvl w:val="0"/>
          <w:numId w:val="16"/>
        </w:numPr>
        <w:spacing w:after="0" w:line="240" w:lineRule="auto"/>
        <w:jc w:val="both"/>
        <w:rPr>
          <w:rFonts w:ascii="Times New Roman" w:hAnsi="Times New Roman"/>
          <w:lang w:val="es-CL" w:eastAsia="es-CL"/>
        </w:rPr>
      </w:pPr>
      <w:r w:rsidRPr="00645C33">
        <w:rPr>
          <w:rFonts w:ascii="Times New Roman" w:hAnsi="Times New Roman"/>
          <w:lang w:val="es-CL" w:eastAsia="es-CL"/>
        </w:rPr>
        <w:t>30 hectáreas del terreno de Paine fueron loteados durante el año 2016 con el propósito de vender. El proceso fue el siguiente: el 1 de enero se iniciaron las obras (pavimentación, agua, electricidad, etc.) las cuales fueron concluidas el 31 de octubre de 2016. El costo total incurrido en este proceso fue de $130.000.000. El resultado fueron 60 lotes iguales. Durante los meses de octubre a diciembre se vendieron 18 lotes, a un precio de $14.000.000 cada uno. Además, al cierre del año 2016 habían otros 3 clientes que habían entregado un anticipo de compra de $2.000.000 cada uno pero que aún no había concluido el proceso de escrituración ya que el banco aun no les autorizaba el crédito hipotecario.</w:t>
      </w:r>
    </w:p>
    <w:p w14:paraId="2FBFFA20" w14:textId="77777777" w:rsidR="005E2323" w:rsidRPr="00645C33" w:rsidRDefault="005E2323" w:rsidP="00DE011B">
      <w:pPr>
        <w:pStyle w:val="ListParagraph"/>
        <w:numPr>
          <w:ilvl w:val="0"/>
          <w:numId w:val="16"/>
        </w:numPr>
        <w:spacing w:after="0" w:line="240" w:lineRule="auto"/>
        <w:jc w:val="both"/>
        <w:rPr>
          <w:rFonts w:ascii="Times New Roman" w:hAnsi="Times New Roman"/>
          <w:lang w:val="es-CL" w:eastAsia="es-CL"/>
        </w:rPr>
      </w:pPr>
      <w:r w:rsidRPr="00645C33">
        <w:rPr>
          <w:rFonts w:ascii="Times New Roman" w:hAnsi="Times New Roman"/>
          <w:lang w:val="es-CL" w:eastAsia="es-CL"/>
        </w:rPr>
        <w:t>El 31 de mayo de 2016, cuando el valor justo de cada hectárea ascendía a $15.500.000, una sociedad agrícola se acercó a IABC y ofreció arrendarle el terreno en Paine interior para plantar sandías. El plazo de arriendo era de 2 años contados desde esa misma fecha, con un canon de arriendo anual de $1.000.000 por hectárea pagadero al inicio de cada año.</w:t>
      </w:r>
    </w:p>
    <w:p w14:paraId="0E2D60E0" w14:textId="77777777" w:rsidR="0074007C" w:rsidRPr="00645C33" w:rsidRDefault="0074007C" w:rsidP="0074007C">
      <w:pPr>
        <w:jc w:val="both"/>
        <w:rPr>
          <w:sz w:val="22"/>
          <w:szCs w:val="22"/>
        </w:rPr>
      </w:pPr>
    </w:p>
    <w:p w14:paraId="72EB76B6" w14:textId="77777777" w:rsidR="005E2323" w:rsidRPr="00645C33" w:rsidRDefault="005E2323" w:rsidP="00DE011B">
      <w:pPr>
        <w:jc w:val="both"/>
        <w:rPr>
          <w:sz w:val="22"/>
          <w:szCs w:val="22"/>
        </w:rPr>
      </w:pPr>
      <w:r w:rsidRPr="00645C33">
        <w:rPr>
          <w:sz w:val="22"/>
          <w:szCs w:val="22"/>
        </w:rPr>
        <w:t>Se pide: Realizar todos los registros contables asociados a los terrenos durante el año 2016.</w:t>
      </w:r>
    </w:p>
    <w:p w14:paraId="4E362332" w14:textId="77777777" w:rsidR="005E2323" w:rsidRPr="00645C33" w:rsidRDefault="005E2323" w:rsidP="00DE011B">
      <w:pPr>
        <w:jc w:val="both"/>
        <w:rPr>
          <w:b/>
          <w:sz w:val="22"/>
          <w:szCs w:val="22"/>
        </w:rPr>
      </w:pPr>
    </w:p>
    <w:p w14:paraId="0DF11167" w14:textId="77777777" w:rsidR="005E2323" w:rsidRPr="00645C33" w:rsidRDefault="005E2323" w:rsidP="00DE011B">
      <w:pPr>
        <w:jc w:val="both"/>
        <w:rPr>
          <w:color w:val="1F497D" w:themeColor="text2"/>
          <w:sz w:val="22"/>
          <w:szCs w:val="22"/>
        </w:rPr>
      </w:pPr>
      <w:r w:rsidRPr="00645C33">
        <w:rPr>
          <w:color w:val="1F497D" w:themeColor="text2"/>
          <w:sz w:val="22"/>
          <w:szCs w:val="22"/>
        </w:rPr>
        <w:t>Respuesta:</w:t>
      </w:r>
    </w:p>
    <w:p w14:paraId="743566E5" w14:textId="77777777" w:rsidR="005E2323" w:rsidRPr="00645C33" w:rsidRDefault="005E2323" w:rsidP="00DE011B">
      <w:pPr>
        <w:jc w:val="both"/>
        <w:rPr>
          <w:b/>
          <w:sz w:val="22"/>
          <w:szCs w:val="22"/>
        </w:rPr>
      </w:pPr>
    </w:p>
    <w:p w14:paraId="3FB94E29" w14:textId="3B621A15" w:rsidR="005E2323" w:rsidRPr="00645C33" w:rsidRDefault="005263D5" w:rsidP="00DE011B">
      <w:pPr>
        <w:jc w:val="both"/>
        <w:rPr>
          <w:b/>
          <w:sz w:val="22"/>
          <w:szCs w:val="22"/>
        </w:rPr>
      </w:pPr>
      <w:r w:rsidRPr="00645C33">
        <w:rPr>
          <w:noProof/>
          <w:sz w:val="22"/>
          <w:szCs w:val="22"/>
          <w:lang w:val="en-US" w:eastAsia="en-US"/>
        </w:rPr>
        <w:lastRenderedPageBreak/>
        <w:drawing>
          <wp:inline distT="0" distB="0" distL="0" distR="0" wp14:anchorId="5CF2BEC9" wp14:editId="2F3556D5">
            <wp:extent cx="5612130" cy="4268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68160"/>
                    </a:xfrm>
                    <a:prstGeom prst="rect">
                      <a:avLst/>
                    </a:prstGeom>
                    <a:noFill/>
                    <a:ln>
                      <a:noFill/>
                    </a:ln>
                  </pic:spPr>
                </pic:pic>
              </a:graphicData>
            </a:graphic>
          </wp:inline>
        </w:drawing>
      </w:r>
    </w:p>
    <w:p w14:paraId="42F8552F" w14:textId="77777777" w:rsidR="005E2323" w:rsidRPr="00645C33" w:rsidRDefault="005E2323" w:rsidP="00DE011B">
      <w:pPr>
        <w:pStyle w:val="BodyText1"/>
        <w:spacing w:after="0" w:line="240" w:lineRule="auto"/>
        <w:jc w:val="both"/>
        <w:rPr>
          <w:rFonts w:ascii="Times New Roman" w:hAnsi="Times New Roman" w:cs="Times New Roman"/>
          <w:lang w:val="es-CL"/>
        </w:rPr>
      </w:pPr>
    </w:p>
    <w:p w14:paraId="3E9E9265" w14:textId="546CE602" w:rsidR="00A65F19" w:rsidRPr="00645C33" w:rsidRDefault="00A65F19" w:rsidP="00DE011B">
      <w:pPr>
        <w:jc w:val="both"/>
        <w:rPr>
          <w:b/>
          <w:sz w:val="22"/>
          <w:szCs w:val="22"/>
        </w:rPr>
      </w:pPr>
      <w:r w:rsidRPr="00645C33">
        <w:rPr>
          <w:b/>
          <w:sz w:val="22"/>
          <w:szCs w:val="22"/>
          <w:u w:val="single"/>
        </w:rPr>
        <w:t>Pregunta 6</w:t>
      </w:r>
      <w:r w:rsidRPr="00645C33">
        <w:rPr>
          <w:b/>
          <w:sz w:val="22"/>
          <w:szCs w:val="22"/>
        </w:rPr>
        <w:tab/>
      </w:r>
      <w:r w:rsidRPr="00645C33">
        <w:rPr>
          <w:b/>
          <w:sz w:val="22"/>
          <w:szCs w:val="22"/>
        </w:rPr>
        <w:tab/>
      </w:r>
      <w:r w:rsidR="00567C62">
        <w:rPr>
          <w:b/>
          <w:sz w:val="22"/>
          <w:szCs w:val="22"/>
        </w:rPr>
        <w:t>12</w:t>
      </w:r>
      <w:r w:rsidRPr="00645C33">
        <w:rPr>
          <w:b/>
          <w:sz w:val="22"/>
          <w:szCs w:val="22"/>
        </w:rPr>
        <w:t xml:space="preserve"> puntos</w:t>
      </w:r>
    </w:p>
    <w:p w14:paraId="6462F884" w14:textId="77777777" w:rsidR="00A65F19" w:rsidRPr="00645C33" w:rsidRDefault="00A65F19" w:rsidP="00DE011B">
      <w:pPr>
        <w:jc w:val="both"/>
        <w:rPr>
          <w:b/>
          <w:sz w:val="22"/>
          <w:szCs w:val="22"/>
        </w:rPr>
      </w:pPr>
    </w:p>
    <w:p w14:paraId="43E4D943" w14:textId="77777777" w:rsidR="00A65F19" w:rsidRPr="00645C33" w:rsidRDefault="00A65F19" w:rsidP="00DE011B">
      <w:pPr>
        <w:jc w:val="both"/>
        <w:rPr>
          <w:sz w:val="22"/>
          <w:szCs w:val="22"/>
        </w:rPr>
      </w:pPr>
      <w:r w:rsidRPr="00645C33">
        <w:rPr>
          <w:sz w:val="22"/>
          <w:szCs w:val="22"/>
        </w:rPr>
        <w:t>Usted es el Gerente de Finanzas de la empresa Ferrachi, una empresa chilena que produce y comercializa autos deportivos low cost. El 3 de enero de 2017 los jefes de ventas le reportan las ventas realizadas durante el mes de diciembre. El jefe de ventas nacionales le comenta que durante diciembre vendió 3 Berlimecha y 2 LaFerrachi. El precio de venta en Chile del Berlimecha es de M$ 9.000 cada uno y el LaFerrachi a M$ 7.500. El jefe de venta nacional le comentó que uno de los Berlimecha no se pudo entregar debido a que presentaba un problema en el motor de partida, situación que fue solucionada el 2 de enero, fecha de entrega.</w:t>
      </w:r>
    </w:p>
    <w:p w14:paraId="3D6FBC1A" w14:textId="77777777" w:rsidR="00A65F19" w:rsidRPr="00645C33" w:rsidRDefault="00A65F19" w:rsidP="00DE011B">
      <w:pPr>
        <w:jc w:val="both"/>
        <w:rPr>
          <w:sz w:val="22"/>
          <w:szCs w:val="22"/>
        </w:rPr>
      </w:pPr>
    </w:p>
    <w:p w14:paraId="02900658" w14:textId="77777777" w:rsidR="00A65F19" w:rsidRPr="00645C33" w:rsidRDefault="00A65F19" w:rsidP="00DE011B">
      <w:pPr>
        <w:jc w:val="both"/>
        <w:rPr>
          <w:sz w:val="22"/>
          <w:szCs w:val="22"/>
        </w:rPr>
      </w:pPr>
      <w:r w:rsidRPr="00645C33">
        <w:rPr>
          <w:sz w:val="22"/>
          <w:szCs w:val="22"/>
        </w:rPr>
        <w:t>El jefe de ventas para Latam (Latino América) le informa que él vendió 15 vehículos: 10 Berlimecha y 5 LaFerrachi. De estos 15 autos, 6 Berlimecha y 4 LaFerrachi fueron vendidos a un comercializador Boliviano. El precio de venta unitario fue de M$ 10.500 y M$ 8.500 puestos en el local de Bolivia. Adicionalmente, 4 Berlimecha y 1 LaFerrachi fueron vendidos a un comercializador paraguayo a un precio unitario de M$ 11.500 y M$ 9.500, respectivamente, puestos en Asunción. Los vehículos fueron enviados en camiones; el de Paraguay salió el 3 de diciembre y fue recepcionado en Asunción el 28 de diciembre. El cliente Paraguayo anticipó M$ 10.000 por la venta de los autos los cuales fueron recibidos el 28 de diciembre en Chile. La exportación a Bolivia se efectuó de igual forma por camión el cual salió de la planta de Santiago el día 28 de diciembre. El chofer del camión que se dirigía a Bolivia se quedó festejando el año nuevo en San Pedro de Atacama.</w:t>
      </w:r>
    </w:p>
    <w:p w14:paraId="6A5009BA" w14:textId="77777777" w:rsidR="00A65F19" w:rsidRPr="00645C33" w:rsidRDefault="00A65F19" w:rsidP="00DE011B">
      <w:pPr>
        <w:jc w:val="both"/>
        <w:rPr>
          <w:sz w:val="22"/>
          <w:szCs w:val="22"/>
        </w:rPr>
      </w:pPr>
    </w:p>
    <w:p w14:paraId="1B920169" w14:textId="77777777" w:rsidR="00A65F19" w:rsidRPr="00645C33" w:rsidRDefault="00A65F19" w:rsidP="00DE011B">
      <w:pPr>
        <w:jc w:val="both"/>
        <w:rPr>
          <w:sz w:val="22"/>
          <w:szCs w:val="22"/>
        </w:rPr>
      </w:pPr>
      <w:r w:rsidRPr="00645C33">
        <w:rPr>
          <w:sz w:val="22"/>
          <w:szCs w:val="22"/>
        </w:rPr>
        <w:t>En el caso de las ventas locales, el jefe de ventas nacionales decidió dar la primera mantención gratuita de los 1.000 km para incentivar la venta. El precio de mercado de la mantención es de M$ 250.</w:t>
      </w:r>
    </w:p>
    <w:p w14:paraId="4B4CE5A5" w14:textId="77777777" w:rsidR="00A65F19" w:rsidRPr="00645C33" w:rsidRDefault="00A65F19" w:rsidP="00DE011B">
      <w:pPr>
        <w:jc w:val="both"/>
        <w:rPr>
          <w:sz w:val="22"/>
          <w:szCs w:val="22"/>
        </w:rPr>
      </w:pPr>
    </w:p>
    <w:p w14:paraId="6012D63D" w14:textId="37B644CA" w:rsidR="00A65F19" w:rsidRPr="00645C33" w:rsidRDefault="00A65F19" w:rsidP="00DE011B">
      <w:pPr>
        <w:jc w:val="both"/>
        <w:rPr>
          <w:b/>
          <w:sz w:val="22"/>
          <w:szCs w:val="22"/>
        </w:rPr>
      </w:pPr>
      <w:r w:rsidRPr="00645C33">
        <w:rPr>
          <w:b/>
          <w:sz w:val="22"/>
          <w:szCs w:val="22"/>
        </w:rPr>
        <w:t>Preguntas</w:t>
      </w:r>
      <w:r w:rsidR="0074007C" w:rsidRPr="00645C33">
        <w:rPr>
          <w:b/>
          <w:sz w:val="22"/>
          <w:szCs w:val="22"/>
        </w:rPr>
        <w:t>:</w:t>
      </w:r>
    </w:p>
    <w:p w14:paraId="18380220" w14:textId="77777777" w:rsidR="0074007C" w:rsidRPr="00645C33" w:rsidRDefault="0074007C" w:rsidP="00DE011B">
      <w:pPr>
        <w:jc w:val="both"/>
        <w:rPr>
          <w:b/>
          <w:sz w:val="22"/>
          <w:szCs w:val="22"/>
        </w:rPr>
      </w:pPr>
    </w:p>
    <w:p w14:paraId="4DB1C032" w14:textId="64F6487E" w:rsidR="00A65F19" w:rsidRPr="00645C33" w:rsidRDefault="00A65F19" w:rsidP="00DE011B">
      <w:pPr>
        <w:jc w:val="both"/>
        <w:rPr>
          <w:sz w:val="22"/>
          <w:szCs w:val="22"/>
        </w:rPr>
      </w:pPr>
      <w:r w:rsidRPr="00645C33">
        <w:rPr>
          <w:sz w:val="22"/>
          <w:szCs w:val="22"/>
        </w:rPr>
        <w:t xml:space="preserve">1.- </w:t>
      </w:r>
      <w:r w:rsidR="00567C62">
        <w:rPr>
          <w:b/>
          <w:sz w:val="22"/>
          <w:szCs w:val="22"/>
        </w:rPr>
        <w:t>(6</w:t>
      </w:r>
      <w:r w:rsidR="0074007C" w:rsidRPr="00645C33">
        <w:rPr>
          <w:b/>
          <w:sz w:val="22"/>
          <w:szCs w:val="22"/>
        </w:rPr>
        <w:t xml:space="preserve"> puntos)</w:t>
      </w:r>
      <w:r w:rsidR="0074007C" w:rsidRPr="00645C33">
        <w:rPr>
          <w:b/>
          <w:sz w:val="22"/>
          <w:szCs w:val="22"/>
        </w:rPr>
        <w:t xml:space="preserve"> </w:t>
      </w:r>
      <w:r w:rsidRPr="00645C33">
        <w:rPr>
          <w:sz w:val="22"/>
          <w:szCs w:val="22"/>
        </w:rPr>
        <w:t>¿Cuáles son los ingresos por venta que debe reconocer Ferrachi al 31 de diciembre?</w:t>
      </w:r>
    </w:p>
    <w:p w14:paraId="3727166E" w14:textId="77777777" w:rsidR="00A65F19" w:rsidRPr="00645C33" w:rsidRDefault="00A65F19" w:rsidP="00DE011B">
      <w:pPr>
        <w:jc w:val="both"/>
        <w:rPr>
          <w:sz w:val="22"/>
          <w:szCs w:val="22"/>
        </w:rPr>
      </w:pPr>
    </w:p>
    <w:p w14:paraId="719452C0" w14:textId="77777777" w:rsidR="00A65F19" w:rsidRPr="00645C33" w:rsidRDefault="00A65F19" w:rsidP="00DE011B">
      <w:pPr>
        <w:jc w:val="both"/>
        <w:rPr>
          <w:color w:val="4F81BD" w:themeColor="accent1"/>
          <w:sz w:val="22"/>
          <w:szCs w:val="22"/>
        </w:rPr>
      </w:pPr>
      <w:r w:rsidRPr="00645C33">
        <w:rPr>
          <w:color w:val="4F81BD" w:themeColor="accent1"/>
          <w:sz w:val="22"/>
          <w:szCs w:val="22"/>
        </w:rPr>
        <w:t xml:space="preserve">Respuesta: </w:t>
      </w:r>
    </w:p>
    <w:p w14:paraId="623772F4" w14:textId="77777777" w:rsidR="00A65F19" w:rsidRPr="00645C33" w:rsidRDefault="00A65F19" w:rsidP="00DE011B">
      <w:pPr>
        <w:jc w:val="both"/>
        <w:rPr>
          <w:color w:val="4F81BD" w:themeColor="accent1"/>
          <w:sz w:val="22"/>
          <w:szCs w:val="22"/>
        </w:rPr>
      </w:pPr>
    </w:p>
    <w:p w14:paraId="0441E75E" w14:textId="77777777" w:rsidR="00A65F19" w:rsidRPr="00645C33" w:rsidRDefault="00A65F19" w:rsidP="00DE011B">
      <w:pPr>
        <w:jc w:val="both"/>
        <w:rPr>
          <w:sz w:val="22"/>
          <w:szCs w:val="22"/>
        </w:rPr>
      </w:pPr>
      <w:r w:rsidRPr="00645C33">
        <w:rPr>
          <w:sz w:val="22"/>
          <w:szCs w:val="22"/>
        </w:rPr>
        <w:object w:dxaOrig="7176" w:dyaOrig="8380" w14:anchorId="5ECEC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pt;height:419.65pt" o:ole="">
            <v:imagedata r:id="rId9" o:title=""/>
          </v:shape>
          <o:OLEObject Type="Embed" ProgID="Excel.Sheet.12" ShapeID="_x0000_i1025" DrawAspect="Content" ObjectID="_1552916076" r:id="rId10"/>
        </w:object>
      </w:r>
    </w:p>
    <w:p w14:paraId="6F55A3C3" w14:textId="77777777" w:rsidR="00A65F19" w:rsidRPr="00645C33" w:rsidRDefault="00A65F19" w:rsidP="00DE011B">
      <w:pPr>
        <w:jc w:val="both"/>
        <w:rPr>
          <w:sz w:val="22"/>
          <w:szCs w:val="22"/>
        </w:rPr>
      </w:pPr>
    </w:p>
    <w:p w14:paraId="43786CE5" w14:textId="351CEC56" w:rsidR="00A65F19" w:rsidRPr="00645C33" w:rsidRDefault="00A65F19" w:rsidP="00DE011B">
      <w:pPr>
        <w:jc w:val="both"/>
        <w:rPr>
          <w:sz w:val="22"/>
          <w:szCs w:val="22"/>
        </w:rPr>
      </w:pPr>
      <w:r w:rsidRPr="00645C33">
        <w:rPr>
          <w:sz w:val="22"/>
          <w:szCs w:val="22"/>
        </w:rPr>
        <w:t xml:space="preserve">2.- </w:t>
      </w:r>
      <w:r w:rsidR="00567C62">
        <w:rPr>
          <w:b/>
          <w:sz w:val="22"/>
          <w:szCs w:val="22"/>
        </w:rPr>
        <w:t>(2</w:t>
      </w:r>
      <w:r w:rsidR="0074007C" w:rsidRPr="00645C33">
        <w:rPr>
          <w:b/>
          <w:sz w:val="22"/>
          <w:szCs w:val="22"/>
        </w:rPr>
        <w:t xml:space="preserve"> puntos)</w:t>
      </w:r>
      <w:r w:rsidR="0074007C" w:rsidRPr="00645C33">
        <w:rPr>
          <w:b/>
          <w:sz w:val="22"/>
          <w:szCs w:val="22"/>
        </w:rPr>
        <w:t xml:space="preserve"> </w:t>
      </w:r>
      <w:r w:rsidRPr="00645C33">
        <w:rPr>
          <w:sz w:val="22"/>
          <w:szCs w:val="22"/>
        </w:rPr>
        <w:t>¿Qué efectos tiene el anticipo entregado por el paraguayo?</w:t>
      </w:r>
    </w:p>
    <w:p w14:paraId="7DF66D2C" w14:textId="77777777" w:rsidR="00A65F19" w:rsidRPr="00645C33" w:rsidRDefault="00A65F19" w:rsidP="00DE011B">
      <w:pPr>
        <w:jc w:val="both"/>
        <w:rPr>
          <w:color w:val="4F81BD" w:themeColor="accent1"/>
          <w:sz w:val="22"/>
          <w:szCs w:val="22"/>
        </w:rPr>
      </w:pPr>
    </w:p>
    <w:p w14:paraId="71C724F8" w14:textId="77777777" w:rsidR="00A65F19" w:rsidRPr="00645C33" w:rsidRDefault="00A65F19" w:rsidP="00DE011B">
      <w:pPr>
        <w:jc w:val="both"/>
        <w:rPr>
          <w:color w:val="4F81BD" w:themeColor="accent1"/>
          <w:sz w:val="22"/>
          <w:szCs w:val="22"/>
        </w:rPr>
      </w:pPr>
      <w:r w:rsidRPr="00645C33">
        <w:rPr>
          <w:color w:val="4F81BD" w:themeColor="accent1"/>
          <w:sz w:val="22"/>
          <w:szCs w:val="22"/>
        </w:rPr>
        <w:t>Respuesta:</w:t>
      </w:r>
    </w:p>
    <w:p w14:paraId="7FE24530" w14:textId="77777777" w:rsidR="00A65F19" w:rsidRPr="00645C33" w:rsidRDefault="00A65F19" w:rsidP="00DE011B">
      <w:pPr>
        <w:jc w:val="both"/>
        <w:rPr>
          <w:color w:val="4F81BD" w:themeColor="accent1"/>
          <w:sz w:val="22"/>
          <w:szCs w:val="22"/>
        </w:rPr>
      </w:pPr>
    </w:p>
    <w:p w14:paraId="26852F76" w14:textId="77777777" w:rsidR="00A65F19" w:rsidRPr="00645C33" w:rsidRDefault="00A65F19" w:rsidP="00DE011B">
      <w:pPr>
        <w:jc w:val="both"/>
        <w:rPr>
          <w:color w:val="4F81BD" w:themeColor="accent1"/>
          <w:sz w:val="22"/>
          <w:szCs w:val="22"/>
        </w:rPr>
      </w:pPr>
      <w:r w:rsidRPr="00645C33">
        <w:rPr>
          <w:color w:val="4F81BD" w:themeColor="accent1"/>
          <w:sz w:val="22"/>
          <w:szCs w:val="22"/>
        </w:rPr>
        <w:t>Es únicamente un anticipo, no genera venta el anticipo. Queda como un pasivo (Ingreso diferido) para Ferrachi el cual pasa a ingreso al momento materializarse la venta que ocurrió el 28 de diciembre.</w:t>
      </w:r>
    </w:p>
    <w:p w14:paraId="5E7A806E" w14:textId="77777777" w:rsidR="00A65F19" w:rsidRPr="00645C33" w:rsidRDefault="00A65F19" w:rsidP="00DE011B">
      <w:pPr>
        <w:jc w:val="both"/>
        <w:rPr>
          <w:color w:val="4F81BD" w:themeColor="accent1"/>
          <w:sz w:val="22"/>
          <w:szCs w:val="22"/>
        </w:rPr>
      </w:pPr>
    </w:p>
    <w:p w14:paraId="1C9DEF81" w14:textId="2CB216AD" w:rsidR="00A65F19" w:rsidRPr="00645C33" w:rsidRDefault="00A65F19" w:rsidP="00DE011B">
      <w:pPr>
        <w:jc w:val="both"/>
        <w:rPr>
          <w:sz w:val="22"/>
          <w:szCs w:val="22"/>
        </w:rPr>
      </w:pPr>
      <w:r w:rsidRPr="00645C33">
        <w:rPr>
          <w:sz w:val="22"/>
          <w:szCs w:val="22"/>
        </w:rPr>
        <w:t xml:space="preserve">3.- </w:t>
      </w:r>
      <w:r w:rsidR="00567C62">
        <w:rPr>
          <w:b/>
          <w:sz w:val="22"/>
          <w:szCs w:val="22"/>
        </w:rPr>
        <w:t>(4</w:t>
      </w:r>
      <w:r w:rsidR="0074007C" w:rsidRPr="00645C33">
        <w:rPr>
          <w:b/>
          <w:sz w:val="22"/>
          <w:szCs w:val="22"/>
        </w:rPr>
        <w:t xml:space="preserve"> puntos)</w:t>
      </w:r>
      <w:r w:rsidR="0074007C" w:rsidRPr="00645C33">
        <w:rPr>
          <w:b/>
          <w:sz w:val="22"/>
          <w:szCs w:val="22"/>
        </w:rPr>
        <w:t xml:space="preserve"> </w:t>
      </w:r>
      <w:r w:rsidRPr="00645C33">
        <w:rPr>
          <w:sz w:val="22"/>
          <w:szCs w:val="22"/>
        </w:rPr>
        <w:t>¿Cuál es el tratamiento de la mantención de los 1.000 km?</w:t>
      </w:r>
    </w:p>
    <w:p w14:paraId="71F9DEC8" w14:textId="77777777" w:rsidR="00A65F19" w:rsidRPr="00645C33" w:rsidRDefault="00A65F19" w:rsidP="00DE011B">
      <w:pPr>
        <w:jc w:val="both"/>
        <w:rPr>
          <w:color w:val="4F81BD" w:themeColor="accent1"/>
          <w:sz w:val="22"/>
          <w:szCs w:val="22"/>
        </w:rPr>
      </w:pPr>
    </w:p>
    <w:p w14:paraId="19E4A455" w14:textId="77777777" w:rsidR="00A65F19" w:rsidRPr="00645C33" w:rsidRDefault="00A65F19" w:rsidP="00DE011B">
      <w:pPr>
        <w:jc w:val="both"/>
        <w:rPr>
          <w:color w:val="4F81BD" w:themeColor="accent1"/>
          <w:sz w:val="22"/>
          <w:szCs w:val="22"/>
        </w:rPr>
      </w:pPr>
      <w:r w:rsidRPr="00645C33">
        <w:rPr>
          <w:color w:val="4F81BD" w:themeColor="accent1"/>
          <w:sz w:val="22"/>
          <w:szCs w:val="22"/>
        </w:rPr>
        <w:lastRenderedPageBreak/>
        <w:t>Respuesta:</w:t>
      </w:r>
    </w:p>
    <w:p w14:paraId="73810626" w14:textId="77777777" w:rsidR="00A65F19" w:rsidRPr="00645C33" w:rsidRDefault="00A65F19" w:rsidP="00DE011B">
      <w:pPr>
        <w:jc w:val="both"/>
        <w:rPr>
          <w:color w:val="4F81BD" w:themeColor="accent1"/>
          <w:sz w:val="22"/>
          <w:szCs w:val="22"/>
        </w:rPr>
      </w:pPr>
    </w:p>
    <w:p w14:paraId="37D5E5A1" w14:textId="77777777" w:rsidR="00A65F19" w:rsidRPr="00645C33" w:rsidRDefault="00A65F19" w:rsidP="00DE011B">
      <w:pPr>
        <w:jc w:val="both"/>
        <w:rPr>
          <w:color w:val="4F81BD" w:themeColor="accent1"/>
          <w:sz w:val="22"/>
          <w:szCs w:val="22"/>
        </w:rPr>
      </w:pPr>
      <w:r w:rsidRPr="00645C33">
        <w:rPr>
          <w:color w:val="4F81BD" w:themeColor="accent1"/>
          <w:sz w:val="22"/>
          <w:szCs w:val="22"/>
        </w:rPr>
        <w:t>Es un ingreso diferido que se reconoce como un menor ingreso al momento de la venta pero que posteriormente se transforma en ingreso por venta al momento de prestar el servicio de mantención.</w:t>
      </w:r>
    </w:p>
    <w:p w14:paraId="23D714DA" w14:textId="77777777" w:rsidR="00A65F19" w:rsidRPr="00645C33" w:rsidRDefault="00A65F19" w:rsidP="00DE011B">
      <w:pPr>
        <w:pStyle w:val="BodyText1"/>
        <w:spacing w:after="0" w:line="240" w:lineRule="auto"/>
        <w:jc w:val="both"/>
        <w:rPr>
          <w:rFonts w:ascii="Times New Roman" w:hAnsi="Times New Roman" w:cs="Times New Roman"/>
          <w:lang w:val="es-CL"/>
        </w:rPr>
      </w:pPr>
      <w:r w:rsidRPr="00645C33">
        <w:rPr>
          <w:rFonts w:ascii="Times New Roman" w:hAnsi="Times New Roman" w:cs="Times New Roman"/>
          <w:lang w:val="es-CL"/>
        </w:rPr>
        <w:t xml:space="preserve"> </w:t>
      </w:r>
    </w:p>
    <w:p w14:paraId="0D47ADFD" w14:textId="7E49B4CE" w:rsidR="00A65F19" w:rsidRPr="00645C33" w:rsidRDefault="00A65F19" w:rsidP="00DE011B">
      <w:pPr>
        <w:jc w:val="both"/>
        <w:rPr>
          <w:b/>
          <w:sz w:val="22"/>
          <w:szCs w:val="22"/>
        </w:rPr>
      </w:pPr>
      <w:r w:rsidRPr="00645C33">
        <w:rPr>
          <w:b/>
          <w:sz w:val="22"/>
          <w:szCs w:val="22"/>
          <w:u w:val="single"/>
        </w:rPr>
        <w:t>Pregunta 7</w:t>
      </w:r>
      <w:r w:rsidR="00567C62">
        <w:rPr>
          <w:b/>
          <w:sz w:val="22"/>
          <w:szCs w:val="22"/>
        </w:rPr>
        <w:tab/>
      </w:r>
      <w:r w:rsidR="00567C62">
        <w:rPr>
          <w:b/>
          <w:sz w:val="22"/>
          <w:szCs w:val="22"/>
        </w:rPr>
        <w:tab/>
        <w:t>12</w:t>
      </w:r>
      <w:r w:rsidRPr="00645C33">
        <w:rPr>
          <w:b/>
          <w:sz w:val="22"/>
          <w:szCs w:val="22"/>
        </w:rPr>
        <w:t xml:space="preserve"> puntos</w:t>
      </w:r>
    </w:p>
    <w:p w14:paraId="11EA7EA2" w14:textId="77777777" w:rsidR="00A65F19" w:rsidRPr="00645C33" w:rsidRDefault="00A65F19" w:rsidP="00DE011B">
      <w:pPr>
        <w:jc w:val="both"/>
        <w:rPr>
          <w:b/>
          <w:sz w:val="22"/>
          <w:szCs w:val="22"/>
        </w:rPr>
      </w:pPr>
    </w:p>
    <w:p w14:paraId="6C08B769" w14:textId="77777777" w:rsidR="00A65F19" w:rsidRPr="00645C33" w:rsidRDefault="00A65F19" w:rsidP="00DE011B">
      <w:pPr>
        <w:jc w:val="both"/>
        <w:rPr>
          <w:sz w:val="22"/>
          <w:szCs w:val="22"/>
        </w:rPr>
      </w:pPr>
      <w:r w:rsidRPr="00645C33">
        <w:rPr>
          <w:sz w:val="22"/>
          <w:szCs w:val="22"/>
        </w:rPr>
        <w:t>Empresa GGC se dedica a la producción de ropa para mujer. Para tales efectos tiene una planta productiva cuyos activos al 31 de diciembre de 2014 son:</w:t>
      </w:r>
    </w:p>
    <w:p w14:paraId="25711794" w14:textId="77777777" w:rsidR="00A65F19" w:rsidRPr="00645C33" w:rsidRDefault="00A65F19" w:rsidP="00DE011B">
      <w:pPr>
        <w:jc w:val="both"/>
        <w:rPr>
          <w:sz w:val="22"/>
          <w:szCs w:val="22"/>
        </w:rPr>
      </w:pPr>
    </w:p>
    <w:p w14:paraId="7EA259E9" w14:textId="77777777" w:rsidR="00A65F19" w:rsidRPr="00645C33" w:rsidRDefault="00A65F19" w:rsidP="00DE011B">
      <w:pPr>
        <w:jc w:val="both"/>
        <w:rPr>
          <w:sz w:val="22"/>
          <w:szCs w:val="22"/>
        </w:rPr>
      </w:pPr>
      <w:r w:rsidRPr="00645C33">
        <w:rPr>
          <w:sz w:val="22"/>
          <w:szCs w:val="22"/>
        </w:rPr>
        <w:t>Terreno</w:t>
      </w:r>
      <w:r w:rsidRPr="00645C33">
        <w:rPr>
          <w:sz w:val="22"/>
          <w:szCs w:val="22"/>
        </w:rPr>
        <w:tab/>
      </w:r>
      <w:r w:rsidRPr="00645C33">
        <w:rPr>
          <w:sz w:val="22"/>
          <w:szCs w:val="22"/>
        </w:rPr>
        <w:tab/>
        <w:t>: M$ 150.000</w:t>
      </w:r>
    </w:p>
    <w:p w14:paraId="356034FC" w14:textId="77777777" w:rsidR="00A65F19" w:rsidRPr="00645C33" w:rsidRDefault="00A65F19" w:rsidP="00DE011B">
      <w:pPr>
        <w:jc w:val="both"/>
        <w:rPr>
          <w:sz w:val="22"/>
          <w:szCs w:val="22"/>
        </w:rPr>
      </w:pPr>
      <w:r w:rsidRPr="00645C33">
        <w:rPr>
          <w:sz w:val="22"/>
          <w:szCs w:val="22"/>
        </w:rPr>
        <w:t>Maquinarias</w:t>
      </w:r>
      <w:r w:rsidRPr="00645C33">
        <w:rPr>
          <w:sz w:val="22"/>
          <w:szCs w:val="22"/>
        </w:rPr>
        <w:tab/>
        <w:t>: M$ 320.000</w:t>
      </w:r>
    </w:p>
    <w:p w14:paraId="46DD6C68" w14:textId="77777777" w:rsidR="00A65F19" w:rsidRPr="00645C33" w:rsidRDefault="00A65F19" w:rsidP="00DE011B">
      <w:pPr>
        <w:jc w:val="both"/>
        <w:rPr>
          <w:sz w:val="22"/>
          <w:szCs w:val="22"/>
        </w:rPr>
      </w:pPr>
      <w:r w:rsidRPr="00645C33">
        <w:rPr>
          <w:sz w:val="22"/>
          <w:szCs w:val="22"/>
        </w:rPr>
        <w:t xml:space="preserve">Vehículos </w:t>
      </w:r>
      <w:r w:rsidRPr="00645C33">
        <w:rPr>
          <w:sz w:val="22"/>
          <w:szCs w:val="22"/>
        </w:rPr>
        <w:tab/>
        <w:t>: M$ 45.000</w:t>
      </w:r>
    </w:p>
    <w:p w14:paraId="3794A8D9" w14:textId="77777777" w:rsidR="00A65F19" w:rsidRPr="00645C33" w:rsidRDefault="00A65F19" w:rsidP="00DE011B">
      <w:pPr>
        <w:jc w:val="both"/>
        <w:rPr>
          <w:sz w:val="22"/>
          <w:szCs w:val="22"/>
        </w:rPr>
      </w:pPr>
    </w:p>
    <w:p w14:paraId="5D1E6938" w14:textId="77777777" w:rsidR="00A65F19" w:rsidRPr="00645C33" w:rsidRDefault="00A65F19" w:rsidP="00DE011B">
      <w:pPr>
        <w:jc w:val="both"/>
        <w:rPr>
          <w:sz w:val="22"/>
          <w:szCs w:val="22"/>
        </w:rPr>
      </w:pPr>
      <w:r w:rsidRPr="00645C33">
        <w:rPr>
          <w:sz w:val="22"/>
          <w:szCs w:val="22"/>
        </w:rPr>
        <w:t>GGC tiene como política llevar los terrenos y maquinarias a valor de mercado. Los vehículos a costo. Al cierre del ejercicio 2014 la vida útil técnica remanente de la maquinaria es de 20 años; la Compañía estima que utilizará la maquinaria durante 15 años más ya que por tecnología la cambiarán antes de los 20 años. Se estima valor residual de la maquinaria es de M$ 7.000 al año 15. A esa misma fecha los vehículos tienen una vida útil técnica remanente de 7 años y la Compañía espera utilizarlos 5 años. Se estima que con el uso no tendrán valor residual.</w:t>
      </w:r>
    </w:p>
    <w:p w14:paraId="72B761C2" w14:textId="77777777" w:rsidR="00A65F19" w:rsidRPr="00645C33" w:rsidRDefault="00A65F19" w:rsidP="00DE011B">
      <w:pPr>
        <w:jc w:val="both"/>
        <w:rPr>
          <w:sz w:val="22"/>
          <w:szCs w:val="22"/>
        </w:rPr>
      </w:pPr>
    </w:p>
    <w:p w14:paraId="002E3635" w14:textId="77777777" w:rsidR="00A65F19" w:rsidRPr="00645C33" w:rsidRDefault="00A65F19" w:rsidP="00DE011B">
      <w:pPr>
        <w:jc w:val="both"/>
        <w:rPr>
          <w:sz w:val="22"/>
          <w:szCs w:val="22"/>
        </w:rPr>
      </w:pPr>
      <w:r w:rsidRPr="00645C33">
        <w:rPr>
          <w:sz w:val="22"/>
          <w:szCs w:val="22"/>
        </w:rPr>
        <w:t xml:space="preserve">Al 31 de diciembre de 2015 el valor de mercado del terreno es de M$ 175.000 y de la maquinaria M$ 435.000. </w:t>
      </w:r>
    </w:p>
    <w:p w14:paraId="07E243EF" w14:textId="77777777" w:rsidR="00A65F19" w:rsidRPr="00645C33" w:rsidRDefault="00A65F19" w:rsidP="00DE011B">
      <w:pPr>
        <w:jc w:val="both"/>
        <w:rPr>
          <w:sz w:val="22"/>
          <w:szCs w:val="22"/>
        </w:rPr>
      </w:pPr>
    </w:p>
    <w:p w14:paraId="0E54CF8B" w14:textId="77777777" w:rsidR="00A65F19" w:rsidRPr="00645C33" w:rsidRDefault="00A65F19" w:rsidP="00DE011B">
      <w:pPr>
        <w:jc w:val="both"/>
        <w:rPr>
          <w:sz w:val="22"/>
          <w:szCs w:val="22"/>
        </w:rPr>
      </w:pPr>
      <w:r w:rsidRPr="00645C33">
        <w:rPr>
          <w:sz w:val="22"/>
          <w:szCs w:val="22"/>
        </w:rPr>
        <w:t>Al 31 de diciembre de 2016 el valor del terreno es de M$ 200.000 y el de la maquinaria, dado un cambio de tecnología, de M$ 120.000.</w:t>
      </w:r>
    </w:p>
    <w:p w14:paraId="66AAAD53" w14:textId="77777777" w:rsidR="00A65F19" w:rsidRPr="00645C33" w:rsidRDefault="00A65F19" w:rsidP="00DE011B">
      <w:pPr>
        <w:jc w:val="both"/>
        <w:rPr>
          <w:sz w:val="22"/>
          <w:szCs w:val="22"/>
        </w:rPr>
      </w:pPr>
    </w:p>
    <w:p w14:paraId="3CC82FB1" w14:textId="77777777" w:rsidR="00A65F19" w:rsidRPr="00645C33" w:rsidRDefault="00A65F19" w:rsidP="00DE011B">
      <w:pPr>
        <w:jc w:val="both"/>
        <w:rPr>
          <w:sz w:val="22"/>
          <w:szCs w:val="22"/>
        </w:rPr>
      </w:pPr>
      <w:r w:rsidRPr="00645C33">
        <w:rPr>
          <w:sz w:val="22"/>
          <w:szCs w:val="22"/>
        </w:rPr>
        <w:t>Asuma, para efectos de este ejercicio, que los activos no tienen depreciación acumulada al 31 de diciembre de 2014 así como tampoco un saldo de reserva de retasación técnica en el patrimonio. Además, se sabe que la Compañía utiliza la política de amortizar el saldo existente en la reserva patrimonial y que utiliza la política de ajustar a cero la depreciación acumulada cada vez que realiza una retasación.</w:t>
      </w:r>
    </w:p>
    <w:p w14:paraId="66DA760F" w14:textId="77777777" w:rsidR="00A65F19" w:rsidRPr="00645C33" w:rsidRDefault="00A65F19" w:rsidP="00DE011B">
      <w:pPr>
        <w:jc w:val="both"/>
        <w:rPr>
          <w:sz w:val="22"/>
          <w:szCs w:val="22"/>
        </w:rPr>
      </w:pPr>
    </w:p>
    <w:p w14:paraId="65F018B4" w14:textId="77777777" w:rsidR="00A65F19" w:rsidRPr="00645C33" w:rsidRDefault="00A65F19" w:rsidP="00DE011B">
      <w:pPr>
        <w:jc w:val="both"/>
        <w:rPr>
          <w:b/>
          <w:sz w:val="22"/>
          <w:szCs w:val="22"/>
        </w:rPr>
      </w:pPr>
      <w:r w:rsidRPr="00645C33">
        <w:rPr>
          <w:b/>
          <w:sz w:val="22"/>
          <w:szCs w:val="22"/>
        </w:rPr>
        <w:t>Preguntas:</w:t>
      </w:r>
    </w:p>
    <w:p w14:paraId="46F0A9E0" w14:textId="77777777" w:rsidR="00A65F19" w:rsidRPr="00645C33" w:rsidRDefault="00A65F19" w:rsidP="00DE011B">
      <w:pPr>
        <w:jc w:val="both"/>
        <w:rPr>
          <w:b/>
          <w:sz w:val="22"/>
          <w:szCs w:val="22"/>
        </w:rPr>
      </w:pPr>
    </w:p>
    <w:p w14:paraId="19B1D337" w14:textId="58CF7FEA" w:rsidR="00A65F19" w:rsidRPr="00645C33" w:rsidRDefault="00A65F19" w:rsidP="00DE011B">
      <w:pPr>
        <w:jc w:val="both"/>
        <w:rPr>
          <w:sz w:val="22"/>
          <w:szCs w:val="22"/>
        </w:rPr>
      </w:pPr>
      <w:r w:rsidRPr="00645C33">
        <w:rPr>
          <w:sz w:val="22"/>
          <w:szCs w:val="22"/>
        </w:rPr>
        <w:t xml:space="preserve">1.- </w:t>
      </w:r>
      <w:r w:rsidR="00567C62">
        <w:rPr>
          <w:b/>
          <w:sz w:val="22"/>
          <w:szCs w:val="22"/>
        </w:rPr>
        <w:t>(3</w:t>
      </w:r>
      <w:r w:rsidR="0074007C" w:rsidRPr="00645C33">
        <w:rPr>
          <w:b/>
          <w:sz w:val="22"/>
          <w:szCs w:val="22"/>
        </w:rPr>
        <w:t xml:space="preserve"> puntos)</w:t>
      </w:r>
      <w:r w:rsidR="0074007C" w:rsidRPr="00645C33">
        <w:rPr>
          <w:b/>
          <w:sz w:val="22"/>
          <w:szCs w:val="22"/>
        </w:rPr>
        <w:t xml:space="preserve"> </w:t>
      </w:r>
      <w:r w:rsidRPr="00645C33">
        <w:rPr>
          <w:sz w:val="22"/>
          <w:szCs w:val="22"/>
        </w:rPr>
        <w:t>¿Cuál es el saldo de activo fijo al 31 de diciembre de 2015?</w:t>
      </w:r>
    </w:p>
    <w:p w14:paraId="56009A7A" w14:textId="77777777" w:rsidR="00A65F19" w:rsidRPr="00645C33" w:rsidRDefault="00A65F19" w:rsidP="00DE011B">
      <w:pPr>
        <w:jc w:val="both"/>
        <w:rPr>
          <w:color w:val="4F81BD" w:themeColor="accent1"/>
          <w:sz w:val="22"/>
          <w:szCs w:val="22"/>
        </w:rPr>
      </w:pPr>
    </w:p>
    <w:p w14:paraId="70332EAE" w14:textId="77777777" w:rsidR="00A65F19" w:rsidRPr="00645C33" w:rsidRDefault="00A65F19" w:rsidP="00DE011B">
      <w:pPr>
        <w:jc w:val="both"/>
        <w:rPr>
          <w:color w:val="4F81BD" w:themeColor="accent1"/>
          <w:sz w:val="22"/>
          <w:szCs w:val="22"/>
        </w:rPr>
      </w:pPr>
      <w:r w:rsidRPr="00645C33">
        <w:rPr>
          <w:color w:val="4F81BD" w:themeColor="accent1"/>
          <w:sz w:val="22"/>
          <w:szCs w:val="22"/>
        </w:rPr>
        <w:t>Respuesta:</w:t>
      </w:r>
    </w:p>
    <w:p w14:paraId="7692CCC8" w14:textId="77777777" w:rsidR="00A65F19" w:rsidRPr="00645C33" w:rsidRDefault="00A65F19" w:rsidP="00DE011B">
      <w:pPr>
        <w:jc w:val="both"/>
        <w:rPr>
          <w:color w:val="4F81BD" w:themeColor="accent1"/>
          <w:sz w:val="22"/>
          <w:szCs w:val="22"/>
        </w:rPr>
      </w:pPr>
    </w:p>
    <w:tbl>
      <w:tblPr>
        <w:tblW w:w="5143" w:type="dxa"/>
        <w:tblInd w:w="70" w:type="dxa"/>
        <w:tblCellMar>
          <w:left w:w="70" w:type="dxa"/>
          <w:right w:w="70" w:type="dxa"/>
        </w:tblCellMar>
        <w:tblLook w:val="04A0" w:firstRow="1" w:lastRow="0" w:firstColumn="1" w:lastColumn="0" w:noHBand="0" w:noVBand="1"/>
      </w:tblPr>
      <w:tblGrid>
        <w:gridCol w:w="2560"/>
        <w:gridCol w:w="2583"/>
      </w:tblGrid>
      <w:tr w:rsidR="00A65F19" w:rsidRPr="00645C33" w14:paraId="6330F3BD" w14:textId="77777777" w:rsidTr="00A14C55">
        <w:trPr>
          <w:trHeight w:val="300"/>
        </w:trPr>
        <w:tc>
          <w:tcPr>
            <w:tcW w:w="2560" w:type="dxa"/>
            <w:tcBorders>
              <w:top w:val="nil"/>
              <w:left w:val="nil"/>
              <w:bottom w:val="nil"/>
              <w:right w:val="nil"/>
            </w:tcBorders>
            <w:shd w:val="clear" w:color="auto" w:fill="auto"/>
            <w:noWrap/>
            <w:vAlign w:val="bottom"/>
            <w:hideMark/>
          </w:tcPr>
          <w:p w14:paraId="78C7135B" w14:textId="77777777" w:rsidR="00A65F19" w:rsidRPr="00645C33" w:rsidRDefault="00A65F19" w:rsidP="00DE011B">
            <w:pPr>
              <w:jc w:val="both"/>
              <w:rPr>
                <w:b/>
                <w:bCs/>
                <w:color w:val="4F81BD" w:themeColor="accent1"/>
                <w:sz w:val="22"/>
                <w:szCs w:val="22"/>
              </w:rPr>
            </w:pPr>
            <w:r w:rsidRPr="00645C33">
              <w:rPr>
                <w:b/>
                <w:bCs/>
                <w:color w:val="4F81BD" w:themeColor="accent1"/>
                <w:sz w:val="22"/>
                <w:szCs w:val="22"/>
              </w:rPr>
              <w:t>2015</w:t>
            </w:r>
          </w:p>
        </w:tc>
        <w:tc>
          <w:tcPr>
            <w:tcW w:w="2583" w:type="dxa"/>
            <w:tcBorders>
              <w:top w:val="nil"/>
              <w:left w:val="nil"/>
              <w:bottom w:val="nil"/>
              <w:right w:val="nil"/>
            </w:tcBorders>
            <w:shd w:val="clear" w:color="auto" w:fill="auto"/>
            <w:noWrap/>
            <w:vAlign w:val="bottom"/>
            <w:hideMark/>
          </w:tcPr>
          <w:p w14:paraId="083E9042" w14:textId="77777777" w:rsidR="00A65F19" w:rsidRPr="00645C33" w:rsidRDefault="00A65F19" w:rsidP="00DE011B">
            <w:pPr>
              <w:jc w:val="both"/>
              <w:rPr>
                <w:b/>
                <w:bCs/>
                <w:color w:val="4F81BD" w:themeColor="accent1"/>
                <w:sz w:val="22"/>
                <w:szCs w:val="22"/>
              </w:rPr>
            </w:pPr>
          </w:p>
        </w:tc>
      </w:tr>
      <w:tr w:rsidR="00A65F19" w:rsidRPr="00645C33" w14:paraId="4C73C21E" w14:textId="77777777" w:rsidTr="00A14C55">
        <w:trPr>
          <w:trHeight w:val="300"/>
        </w:trPr>
        <w:tc>
          <w:tcPr>
            <w:tcW w:w="2560" w:type="dxa"/>
            <w:tcBorders>
              <w:top w:val="nil"/>
              <w:left w:val="nil"/>
              <w:bottom w:val="nil"/>
              <w:right w:val="nil"/>
            </w:tcBorders>
            <w:shd w:val="clear" w:color="auto" w:fill="auto"/>
            <w:noWrap/>
            <w:vAlign w:val="bottom"/>
            <w:hideMark/>
          </w:tcPr>
          <w:p w14:paraId="6803899A" w14:textId="77777777" w:rsidR="00A65F19" w:rsidRPr="00645C33" w:rsidRDefault="00A65F19" w:rsidP="00DE011B">
            <w:pPr>
              <w:jc w:val="both"/>
              <w:rPr>
                <w:color w:val="4F81BD" w:themeColor="accent1"/>
                <w:sz w:val="22"/>
                <w:szCs w:val="22"/>
              </w:rPr>
            </w:pPr>
          </w:p>
        </w:tc>
        <w:tc>
          <w:tcPr>
            <w:tcW w:w="2583" w:type="dxa"/>
            <w:tcBorders>
              <w:top w:val="nil"/>
              <w:left w:val="nil"/>
              <w:bottom w:val="nil"/>
              <w:right w:val="nil"/>
            </w:tcBorders>
            <w:shd w:val="clear" w:color="auto" w:fill="auto"/>
            <w:noWrap/>
            <w:vAlign w:val="bottom"/>
            <w:hideMark/>
          </w:tcPr>
          <w:p w14:paraId="6AC2C105" w14:textId="77777777" w:rsidR="00A65F19" w:rsidRPr="00645C33" w:rsidRDefault="00A65F19" w:rsidP="00DE011B">
            <w:pPr>
              <w:jc w:val="both"/>
              <w:rPr>
                <w:color w:val="4F81BD" w:themeColor="accent1"/>
                <w:sz w:val="22"/>
                <w:szCs w:val="22"/>
              </w:rPr>
            </w:pPr>
            <w:r w:rsidRPr="00645C33">
              <w:rPr>
                <w:color w:val="4F81BD" w:themeColor="accent1"/>
                <w:sz w:val="22"/>
                <w:szCs w:val="22"/>
              </w:rPr>
              <w:t>M$</w:t>
            </w:r>
          </w:p>
        </w:tc>
      </w:tr>
      <w:tr w:rsidR="00A65F19" w:rsidRPr="00645C33" w14:paraId="2036FBE8" w14:textId="77777777" w:rsidTr="00A14C55">
        <w:trPr>
          <w:trHeight w:val="300"/>
        </w:trPr>
        <w:tc>
          <w:tcPr>
            <w:tcW w:w="2560" w:type="dxa"/>
            <w:tcBorders>
              <w:top w:val="nil"/>
              <w:left w:val="nil"/>
              <w:bottom w:val="nil"/>
              <w:right w:val="nil"/>
            </w:tcBorders>
            <w:shd w:val="clear" w:color="auto" w:fill="auto"/>
            <w:noWrap/>
            <w:vAlign w:val="bottom"/>
            <w:hideMark/>
          </w:tcPr>
          <w:p w14:paraId="0FEAE8EB" w14:textId="77777777" w:rsidR="00A65F19" w:rsidRPr="00645C33" w:rsidRDefault="00A65F19" w:rsidP="00DE011B">
            <w:pPr>
              <w:jc w:val="both"/>
              <w:rPr>
                <w:color w:val="4F81BD" w:themeColor="accent1"/>
                <w:sz w:val="22"/>
                <w:szCs w:val="22"/>
              </w:rPr>
            </w:pPr>
            <w:r w:rsidRPr="00645C33">
              <w:rPr>
                <w:color w:val="4F81BD" w:themeColor="accent1"/>
                <w:sz w:val="22"/>
                <w:szCs w:val="22"/>
              </w:rPr>
              <w:t xml:space="preserve">Terreno </w:t>
            </w:r>
          </w:p>
        </w:tc>
        <w:tc>
          <w:tcPr>
            <w:tcW w:w="2583" w:type="dxa"/>
            <w:tcBorders>
              <w:top w:val="nil"/>
              <w:left w:val="nil"/>
              <w:bottom w:val="nil"/>
              <w:right w:val="nil"/>
            </w:tcBorders>
            <w:shd w:val="clear" w:color="auto" w:fill="auto"/>
            <w:noWrap/>
            <w:vAlign w:val="bottom"/>
            <w:hideMark/>
          </w:tcPr>
          <w:p w14:paraId="41F6480D" w14:textId="77777777" w:rsidR="00A65F19" w:rsidRPr="00645C33" w:rsidRDefault="00A65F19" w:rsidP="00DE011B">
            <w:pPr>
              <w:jc w:val="both"/>
              <w:rPr>
                <w:color w:val="4F81BD" w:themeColor="accent1"/>
                <w:sz w:val="22"/>
                <w:szCs w:val="22"/>
              </w:rPr>
            </w:pPr>
            <w:r w:rsidRPr="00645C33">
              <w:rPr>
                <w:color w:val="4F81BD" w:themeColor="accent1"/>
                <w:sz w:val="22"/>
                <w:szCs w:val="22"/>
              </w:rPr>
              <w:t xml:space="preserve">                                    175.000 </w:t>
            </w:r>
          </w:p>
        </w:tc>
      </w:tr>
      <w:tr w:rsidR="00A65F19" w:rsidRPr="00645C33" w14:paraId="7C37365B" w14:textId="77777777" w:rsidTr="00A14C55">
        <w:trPr>
          <w:trHeight w:val="300"/>
        </w:trPr>
        <w:tc>
          <w:tcPr>
            <w:tcW w:w="2560" w:type="dxa"/>
            <w:tcBorders>
              <w:top w:val="nil"/>
              <w:left w:val="nil"/>
              <w:bottom w:val="nil"/>
              <w:right w:val="nil"/>
            </w:tcBorders>
            <w:shd w:val="clear" w:color="auto" w:fill="auto"/>
            <w:noWrap/>
            <w:vAlign w:val="bottom"/>
            <w:hideMark/>
          </w:tcPr>
          <w:p w14:paraId="786ABD4F" w14:textId="77777777" w:rsidR="00A65F19" w:rsidRPr="00645C33" w:rsidRDefault="00A65F19" w:rsidP="00DE011B">
            <w:pPr>
              <w:jc w:val="both"/>
              <w:rPr>
                <w:color w:val="4F81BD" w:themeColor="accent1"/>
                <w:sz w:val="22"/>
                <w:szCs w:val="22"/>
              </w:rPr>
            </w:pPr>
            <w:r w:rsidRPr="00645C33">
              <w:rPr>
                <w:color w:val="4F81BD" w:themeColor="accent1"/>
                <w:sz w:val="22"/>
                <w:szCs w:val="22"/>
              </w:rPr>
              <w:t>Maquinarias</w:t>
            </w:r>
          </w:p>
        </w:tc>
        <w:tc>
          <w:tcPr>
            <w:tcW w:w="2583" w:type="dxa"/>
            <w:tcBorders>
              <w:top w:val="nil"/>
              <w:left w:val="nil"/>
              <w:bottom w:val="nil"/>
              <w:right w:val="nil"/>
            </w:tcBorders>
            <w:shd w:val="clear" w:color="auto" w:fill="auto"/>
            <w:noWrap/>
            <w:vAlign w:val="bottom"/>
            <w:hideMark/>
          </w:tcPr>
          <w:p w14:paraId="31ED6B39" w14:textId="77777777" w:rsidR="00A65F19" w:rsidRPr="00645C33" w:rsidRDefault="00A65F19" w:rsidP="00DE011B">
            <w:pPr>
              <w:jc w:val="both"/>
              <w:rPr>
                <w:color w:val="4F81BD" w:themeColor="accent1"/>
                <w:sz w:val="22"/>
                <w:szCs w:val="22"/>
              </w:rPr>
            </w:pPr>
            <w:r w:rsidRPr="00645C33">
              <w:rPr>
                <w:color w:val="4F81BD" w:themeColor="accent1"/>
                <w:sz w:val="22"/>
                <w:szCs w:val="22"/>
              </w:rPr>
              <w:t xml:space="preserve">                                    435.000 </w:t>
            </w:r>
          </w:p>
        </w:tc>
      </w:tr>
      <w:tr w:rsidR="00A65F19" w:rsidRPr="00645C33" w14:paraId="67F98976" w14:textId="77777777" w:rsidTr="00A14C55">
        <w:trPr>
          <w:trHeight w:val="300"/>
        </w:trPr>
        <w:tc>
          <w:tcPr>
            <w:tcW w:w="2560" w:type="dxa"/>
            <w:tcBorders>
              <w:top w:val="nil"/>
              <w:left w:val="nil"/>
              <w:bottom w:val="nil"/>
              <w:right w:val="nil"/>
            </w:tcBorders>
            <w:shd w:val="clear" w:color="auto" w:fill="auto"/>
            <w:noWrap/>
            <w:vAlign w:val="bottom"/>
            <w:hideMark/>
          </w:tcPr>
          <w:p w14:paraId="6D2D3A4A" w14:textId="77777777" w:rsidR="00A65F19" w:rsidRPr="00645C33" w:rsidRDefault="00A65F19" w:rsidP="00DE011B">
            <w:pPr>
              <w:jc w:val="both"/>
              <w:rPr>
                <w:color w:val="4F81BD" w:themeColor="accent1"/>
                <w:sz w:val="22"/>
                <w:szCs w:val="22"/>
              </w:rPr>
            </w:pPr>
            <w:r w:rsidRPr="00645C33">
              <w:rPr>
                <w:color w:val="4F81BD" w:themeColor="accent1"/>
                <w:sz w:val="22"/>
                <w:szCs w:val="22"/>
              </w:rPr>
              <w:t>Vehículos</w:t>
            </w:r>
          </w:p>
        </w:tc>
        <w:tc>
          <w:tcPr>
            <w:tcW w:w="2583" w:type="dxa"/>
            <w:tcBorders>
              <w:top w:val="nil"/>
              <w:left w:val="nil"/>
              <w:bottom w:val="nil"/>
              <w:right w:val="nil"/>
            </w:tcBorders>
            <w:shd w:val="clear" w:color="auto" w:fill="auto"/>
            <w:noWrap/>
            <w:vAlign w:val="bottom"/>
            <w:hideMark/>
          </w:tcPr>
          <w:p w14:paraId="7B222530" w14:textId="77777777" w:rsidR="00A65F19" w:rsidRPr="00645C33" w:rsidRDefault="00A65F19" w:rsidP="00DE011B">
            <w:pPr>
              <w:jc w:val="both"/>
              <w:rPr>
                <w:color w:val="4F81BD" w:themeColor="accent1"/>
                <w:sz w:val="22"/>
                <w:szCs w:val="22"/>
              </w:rPr>
            </w:pPr>
            <w:r w:rsidRPr="00645C33">
              <w:rPr>
                <w:color w:val="4F81BD" w:themeColor="accent1"/>
                <w:sz w:val="22"/>
                <w:szCs w:val="22"/>
              </w:rPr>
              <w:t xml:space="preserve">                                       36.000 </w:t>
            </w:r>
          </w:p>
        </w:tc>
      </w:tr>
      <w:tr w:rsidR="00A65F19" w:rsidRPr="00645C33" w14:paraId="3C66AEB7" w14:textId="77777777" w:rsidTr="00A14C55">
        <w:trPr>
          <w:trHeight w:val="300"/>
        </w:trPr>
        <w:tc>
          <w:tcPr>
            <w:tcW w:w="2560" w:type="dxa"/>
            <w:tcBorders>
              <w:top w:val="nil"/>
              <w:left w:val="nil"/>
              <w:bottom w:val="nil"/>
              <w:right w:val="nil"/>
            </w:tcBorders>
            <w:shd w:val="clear" w:color="auto" w:fill="auto"/>
            <w:noWrap/>
            <w:vAlign w:val="bottom"/>
            <w:hideMark/>
          </w:tcPr>
          <w:p w14:paraId="6B1B6AC7" w14:textId="77777777" w:rsidR="00A65F19" w:rsidRPr="00645C33" w:rsidRDefault="00A65F19" w:rsidP="00DE011B">
            <w:pPr>
              <w:jc w:val="both"/>
              <w:rPr>
                <w:b/>
                <w:bCs/>
                <w:color w:val="4F81BD" w:themeColor="accent1"/>
                <w:sz w:val="22"/>
                <w:szCs w:val="22"/>
              </w:rPr>
            </w:pPr>
            <w:r w:rsidRPr="00645C33">
              <w:rPr>
                <w:b/>
                <w:bCs/>
                <w:color w:val="4F81BD" w:themeColor="accent1"/>
                <w:sz w:val="22"/>
                <w:szCs w:val="22"/>
              </w:rPr>
              <w:t>Total</w:t>
            </w:r>
          </w:p>
        </w:tc>
        <w:tc>
          <w:tcPr>
            <w:tcW w:w="2583" w:type="dxa"/>
            <w:tcBorders>
              <w:top w:val="nil"/>
              <w:left w:val="nil"/>
              <w:bottom w:val="nil"/>
              <w:right w:val="nil"/>
            </w:tcBorders>
            <w:shd w:val="clear" w:color="auto" w:fill="auto"/>
            <w:noWrap/>
            <w:vAlign w:val="bottom"/>
            <w:hideMark/>
          </w:tcPr>
          <w:p w14:paraId="15DC3840" w14:textId="77777777" w:rsidR="00A65F19" w:rsidRPr="00645C33" w:rsidRDefault="00A65F19" w:rsidP="00DE011B">
            <w:pPr>
              <w:jc w:val="both"/>
              <w:rPr>
                <w:b/>
                <w:bCs/>
                <w:color w:val="4F81BD" w:themeColor="accent1"/>
                <w:sz w:val="22"/>
                <w:szCs w:val="22"/>
              </w:rPr>
            </w:pPr>
            <w:r w:rsidRPr="00645C33">
              <w:rPr>
                <w:b/>
                <w:bCs/>
                <w:color w:val="4F81BD" w:themeColor="accent1"/>
                <w:sz w:val="22"/>
                <w:szCs w:val="22"/>
              </w:rPr>
              <w:t xml:space="preserve">                                    646.000 </w:t>
            </w:r>
          </w:p>
        </w:tc>
      </w:tr>
    </w:tbl>
    <w:p w14:paraId="4A49768D" w14:textId="77777777" w:rsidR="00A65F19" w:rsidRPr="00645C33" w:rsidRDefault="00A65F19" w:rsidP="00DE011B">
      <w:pPr>
        <w:jc w:val="both"/>
        <w:rPr>
          <w:color w:val="4F81BD" w:themeColor="accent1"/>
          <w:sz w:val="22"/>
          <w:szCs w:val="22"/>
        </w:rPr>
      </w:pPr>
    </w:p>
    <w:p w14:paraId="7F55D16A" w14:textId="49269FA7" w:rsidR="00A65F19" w:rsidRPr="00645C33" w:rsidRDefault="00A65F19" w:rsidP="00DE011B">
      <w:pPr>
        <w:jc w:val="both"/>
        <w:rPr>
          <w:sz w:val="22"/>
          <w:szCs w:val="22"/>
        </w:rPr>
      </w:pPr>
      <w:r w:rsidRPr="00645C33">
        <w:rPr>
          <w:sz w:val="22"/>
          <w:szCs w:val="22"/>
        </w:rPr>
        <w:lastRenderedPageBreak/>
        <w:t xml:space="preserve">2.- </w:t>
      </w:r>
      <w:r w:rsidR="00567C62">
        <w:rPr>
          <w:b/>
          <w:sz w:val="22"/>
          <w:szCs w:val="22"/>
        </w:rPr>
        <w:t>(3</w:t>
      </w:r>
      <w:r w:rsidR="0074007C" w:rsidRPr="00645C33">
        <w:rPr>
          <w:b/>
          <w:sz w:val="22"/>
          <w:szCs w:val="22"/>
        </w:rPr>
        <w:t xml:space="preserve"> puntos)</w:t>
      </w:r>
      <w:r w:rsidR="0074007C" w:rsidRPr="00645C33">
        <w:rPr>
          <w:b/>
          <w:sz w:val="22"/>
          <w:szCs w:val="22"/>
        </w:rPr>
        <w:t xml:space="preserve"> </w:t>
      </w:r>
      <w:r w:rsidRPr="00645C33">
        <w:rPr>
          <w:sz w:val="22"/>
          <w:szCs w:val="22"/>
        </w:rPr>
        <w:t>¿Cuál es el saldo de depreciación y reserva a diciembre 2015?</w:t>
      </w:r>
    </w:p>
    <w:p w14:paraId="1A4FD9AE" w14:textId="77777777" w:rsidR="00A65F19" w:rsidRPr="00645C33" w:rsidRDefault="00A65F19" w:rsidP="00DE011B">
      <w:pPr>
        <w:jc w:val="both"/>
        <w:rPr>
          <w:color w:val="4F81BD" w:themeColor="accent1"/>
          <w:sz w:val="22"/>
          <w:szCs w:val="22"/>
        </w:rPr>
      </w:pPr>
    </w:p>
    <w:p w14:paraId="045E9998" w14:textId="77777777" w:rsidR="00A65F19" w:rsidRPr="00645C33" w:rsidRDefault="00A65F19" w:rsidP="00DE011B">
      <w:pPr>
        <w:jc w:val="both"/>
        <w:rPr>
          <w:color w:val="4F81BD" w:themeColor="accent1"/>
          <w:sz w:val="22"/>
          <w:szCs w:val="22"/>
        </w:rPr>
      </w:pPr>
      <w:r w:rsidRPr="00645C33">
        <w:rPr>
          <w:color w:val="4F81BD" w:themeColor="accent1"/>
          <w:sz w:val="22"/>
          <w:szCs w:val="22"/>
        </w:rPr>
        <w:t>Respuesta:</w:t>
      </w:r>
    </w:p>
    <w:p w14:paraId="3C37043B" w14:textId="77777777" w:rsidR="00A65F19" w:rsidRPr="00645C33" w:rsidRDefault="00A65F19" w:rsidP="00DE011B">
      <w:pPr>
        <w:jc w:val="both"/>
        <w:rPr>
          <w:color w:val="4F81BD" w:themeColor="accent1"/>
          <w:sz w:val="22"/>
          <w:szCs w:val="22"/>
        </w:rPr>
      </w:pPr>
    </w:p>
    <w:p w14:paraId="25AA2520" w14:textId="77777777" w:rsidR="00A65F19" w:rsidRPr="00645C33" w:rsidRDefault="00A65F19" w:rsidP="00DE011B">
      <w:pPr>
        <w:jc w:val="both"/>
        <w:rPr>
          <w:color w:val="4F81BD" w:themeColor="accent1"/>
          <w:sz w:val="22"/>
          <w:szCs w:val="22"/>
          <w:u w:val="single"/>
        </w:rPr>
      </w:pPr>
      <w:r w:rsidRPr="00645C33">
        <w:rPr>
          <w:color w:val="4F81BD" w:themeColor="accent1"/>
          <w:sz w:val="22"/>
          <w:szCs w:val="22"/>
          <w:u w:val="single"/>
        </w:rPr>
        <w:t>Depreciación:</w:t>
      </w:r>
    </w:p>
    <w:p w14:paraId="0B5F005D"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M$</w:t>
      </w:r>
    </w:p>
    <w:p w14:paraId="569DAB0D" w14:textId="77777777" w:rsidR="00A65F19" w:rsidRPr="00645C33" w:rsidRDefault="00A65F19" w:rsidP="00DE011B">
      <w:pPr>
        <w:jc w:val="both"/>
        <w:rPr>
          <w:color w:val="4F81BD" w:themeColor="accent1"/>
          <w:sz w:val="22"/>
          <w:szCs w:val="22"/>
        </w:rPr>
      </w:pPr>
      <w:r w:rsidRPr="00645C33">
        <w:rPr>
          <w:color w:val="4F81BD" w:themeColor="accent1"/>
          <w:sz w:val="22"/>
          <w:szCs w:val="22"/>
        </w:rPr>
        <w:t>Maquinarias</w:t>
      </w:r>
      <w:r w:rsidRPr="00645C33">
        <w:rPr>
          <w:color w:val="4F81BD" w:themeColor="accent1"/>
          <w:sz w:val="22"/>
          <w:szCs w:val="22"/>
        </w:rPr>
        <w:tab/>
      </w:r>
      <w:r w:rsidRPr="00645C33">
        <w:rPr>
          <w:color w:val="4F81BD" w:themeColor="accent1"/>
          <w:sz w:val="22"/>
          <w:szCs w:val="22"/>
        </w:rPr>
        <w:tab/>
        <w:t>20.867</w:t>
      </w:r>
      <w:r w:rsidRPr="00645C33">
        <w:rPr>
          <w:color w:val="4F81BD" w:themeColor="accent1"/>
          <w:sz w:val="22"/>
          <w:szCs w:val="22"/>
        </w:rPr>
        <w:tab/>
      </w:r>
      <w:r w:rsidRPr="00645C33">
        <w:rPr>
          <w:color w:val="4F81BD" w:themeColor="accent1"/>
          <w:sz w:val="22"/>
          <w:szCs w:val="22"/>
        </w:rPr>
        <w:tab/>
        <w:t>(320.000-7.000)/15</w:t>
      </w:r>
    </w:p>
    <w:p w14:paraId="79B8058F" w14:textId="77777777" w:rsidR="00A65F19" w:rsidRPr="00645C33" w:rsidRDefault="00A65F19" w:rsidP="00DE011B">
      <w:pPr>
        <w:jc w:val="both"/>
        <w:rPr>
          <w:color w:val="4F81BD" w:themeColor="accent1"/>
          <w:sz w:val="22"/>
          <w:szCs w:val="22"/>
        </w:rPr>
      </w:pPr>
      <w:r w:rsidRPr="00645C33">
        <w:rPr>
          <w:color w:val="4F81BD" w:themeColor="accent1"/>
          <w:sz w:val="22"/>
          <w:szCs w:val="22"/>
        </w:rPr>
        <w:t>Vehículos</w:t>
      </w:r>
      <w:r w:rsidRPr="00645C33">
        <w:rPr>
          <w:color w:val="4F81BD" w:themeColor="accent1"/>
          <w:sz w:val="22"/>
          <w:szCs w:val="22"/>
        </w:rPr>
        <w:tab/>
      </w:r>
      <w:r w:rsidRPr="00645C33">
        <w:rPr>
          <w:color w:val="4F81BD" w:themeColor="accent1"/>
          <w:sz w:val="22"/>
          <w:szCs w:val="22"/>
        </w:rPr>
        <w:tab/>
        <w:t>9.000</w:t>
      </w:r>
      <w:r w:rsidRPr="00645C33">
        <w:rPr>
          <w:color w:val="4F81BD" w:themeColor="accent1"/>
          <w:sz w:val="22"/>
          <w:szCs w:val="22"/>
        </w:rPr>
        <w:tab/>
      </w:r>
      <w:r w:rsidRPr="00645C33">
        <w:rPr>
          <w:color w:val="4F81BD" w:themeColor="accent1"/>
          <w:sz w:val="22"/>
          <w:szCs w:val="22"/>
        </w:rPr>
        <w:tab/>
        <w:t>45.000/5</w:t>
      </w:r>
    </w:p>
    <w:p w14:paraId="23BA381C" w14:textId="77777777" w:rsidR="00A65F19" w:rsidRPr="00645C33" w:rsidRDefault="00A65F19" w:rsidP="00DE011B">
      <w:pPr>
        <w:jc w:val="both"/>
        <w:rPr>
          <w:color w:val="4F81BD" w:themeColor="accent1"/>
          <w:sz w:val="22"/>
          <w:szCs w:val="22"/>
        </w:rPr>
      </w:pPr>
      <w:r w:rsidRPr="00645C33">
        <w:rPr>
          <w:color w:val="4F81BD" w:themeColor="accent1"/>
          <w:sz w:val="22"/>
          <w:szCs w:val="22"/>
        </w:rPr>
        <w:t>Total:</w:t>
      </w: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29.867</w:t>
      </w:r>
    </w:p>
    <w:p w14:paraId="3A075912" w14:textId="77777777" w:rsidR="00A65F19" w:rsidRPr="00645C33" w:rsidRDefault="00A65F19" w:rsidP="00DE011B">
      <w:pPr>
        <w:jc w:val="both"/>
        <w:rPr>
          <w:color w:val="4F81BD" w:themeColor="accent1"/>
          <w:sz w:val="22"/>
          <w:szCs w:val="22"/>
        </w:rPr>
      </w:pPr>
    </w:p>
    <w:p w14:paraId="46F0EBA5" w14:textId="77777777" w:rsidR="00A65F19" w:rsidRPr="00645C33" w:rsidRDefault="00A65F19" w:rsidP="00DE011B">
      <w:pPr>
        <w:jc w:val="both"/>
        <w:rPr>
          <w:color w:val="4F81BD" w:themeColor="accent1"/>
          <w:sz w:val="22"/>
          <w:szCs w:val="22"/>
          <w:u w:val="single"/>
        </w:rPr>
      </w:pPr>
      <w:r w:rsidRPr="00645C33">
        <w:rPr>
          <w:color w:val="4F81BD" w:themeColor="accent1"/>
          <w:sz w:val="22"/>
          <w:szCs w:val="22"/>
          <w:u w:val="single"/>
        </w:rPr>
        <w:t>Reserva:</w:t>
      </w:r>
    </w:p>
    <w:p w14:paraId="238CE632"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M$</w:t>
      </w:r>
    </w:p>
    <w:p w14:paraId="6F67CA0D" w14:textId="77777777" w:rsidR="00A65F19" w:rsidRPr="00645C33" w:rsidRDefault="00A65F19" w:rsidP="00DE011B">
      <w:pPr>
        <w:jc w:val="both"/>
        <w:rPr>
          <w:color w:val="4F81BD" w:themeColor="accent1"/>
          <w:sz w:val="22"/>
          <w:szCs w:val="22"/>
        </w:rPr>
      </w:pPr>
      <w:r w:rsidRPr="00645C33">
        <w:rPr>
          <w:color w:val="4F81BD" w:themeColor="accent1"/>
          <w:sz w:val="22"/>
          <w:szCs w:val="22"/>
        </w:rPr>
        <w:t>Terreno</w:t>
      </w: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25.000</w:t>
      </w:r>
    </w:p>
    <w:p w14:paraId="7BBF5645" w14:textId="77777777" w:rsidR="00A65F19" w:rsidRPr="00645C33" w:rsidRDefault="00A65F19" w:rsidP="00DE011B">
      <w:pPr>
        <w:jc w:val="both"/>
        <w:rPr>
          <w:color w:val="4F81BD" w:themeColor="accent1"/>
          <w:sz w:val="22"/>
          <w:szCs w:val="22"/>
        </w:rPr>
      </w:pPr>
      <w:r w:rsidRPr="00645C33">
        <w:rPr>
          <w:color w:val="4F81BD" w:themeColor="accent1"/>
          <w:sz w:val="22"/>
          <w:szCs w:val="22"/>
        </w:rPr>
        <w:t>Maquinaria</w:t>
      </w:r>
      <w:r w:rsidRPr="00645C33">
        <w:rPr>
          <w:color w:val="4F81BD" w:themeColor="accent1"/>
          <w:sz w:val="22"/>
          <w:szCs w:val="22"/>
        </w:rPr>
        <w:tab/>
      </w:r>
      <w:r w:rsidRPr="00645C33">
        <w:rPr>
          <w:color w:val="4F81BD" w:themeColor="accent1"/>
          <w:sz w:val="22"/>
          <w:szCs w:val="22"/>
        </w:rPr>
        <w:tab/>
        <w:t>135.867</w:t>
      </w:r>
      <w:r w:rsidRPr="00645C33">
        <w:rPr>
          <w:color w:val="4F81BD" w:themeColor="accent1"/>
          <w:sz w:val="22"/>
          <w:szCs w:val="22"/>
        </w:rPr>
        <w:tab/>
        <w:t>435.000 – (320.000-20.867)</w:t>
      </w:r>
    </w:p>
    <w:p w14:paraId="765D9783" w14:textId="77777777" w:rsidR="00A65F19" w:rsidRPr="00645C33" w:rsidRDefault="00A65F19" w:rsidP="00DE011B">
      <w:pPr>
        <w:jc w:val="both"/>
        <w:rPr>
          <w:color w:val="4F81BD" w:themeColor="accent1"/>
          <w:sz w:val="22"/>
          <w:szCs w:val="22"/>
        </w:rPr>
      </w:pPr>
      <w:r w:rsidRPr="00645C33">
        <w:rPr>
          <w:color w:val="4F81BD" w:themeColor="accent1"/>
          <w:sz w:val="22"/>
          <w:szCs w:val="22"/>
        </w:rPr>
        <w:t>Total:</w:t>
      </w: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160.867</w:t>
      </w:r>
    </w:p>
    <w:p w14:paraId="7F8A85EE" w14:textId="77777777" w:rsidR="00A65F19" w:rsidRPr="00645C33" w:rsidRDefault="00A65F19" w:rsidP="00DE011B">
      <w:pPr>
        <w:jc w:val="both"/>
        <w:rPr>
          <w:color w:val="4F81BD" w:themeColor="accent1"/>
          <w:sz w:val="22"/>
          <w:szCs w:val="22"/>
        </w:rPr>
      </w:pPr>
    </w:p>
    <w:p w14:paraId="0040F9B8" w14:textId="2C3CF3DD" w:rsidR="00A65F19" w:rsidRPr="00645C33" w:rsidRDefault="00A65F19" w:rsidP="00DE011B">
      <w:pPr>
        <w:jc w:val="both"/>
        <w:rPr>
          <w:sz w:val="22"/>
          <w:szCs w:val="22"/>
        </w:rPr>
      </w:pPr>
      <w:r w:rsidRPr="00645C33">
        <w:rPr>
          <w:sz w:val="22"/>
          <w:szCs w:val="22"/>
        </w:rPr>
        <w:t xml:space="preserve">3.- </w:t>
      </w:r>
      <w:r w:rsidR="00567C62">
        <w:rPr>
          <w:b/>
          <w:sz w:val="22"/>
          <w:szCs w:val="22"/>
        </w:rPr>
        <w:t>(6</w:t>
      </w:r>
      <w:r w:rsidR="0074007C" w:rsidRPr="00645C33">
        <w:rPr>
          <w:b/>
          <w:sz w:val="22"/>
          <w:szCs w:val="22"/>
        </w:rPr>
        <w:t xml:space="preserve"> puntos)</w:t>
      </w:r>
      <w:r w:rsidR="0074007C" w:rsidRPr="00645C33">
        <w:rPr>
          <w:b/>
          <w:sz w:val="22"/>
          <w:szCs w:val="22"/>
        </w:rPr>
        <w:t xml:space="preserve"> </w:t>
      </w:r>
      <w:r w:rsidRPr="00645C33">
        <w:rPr>
          <w:sz w:val="22"/>
          <w:szCs w:val="22"/>
        </w:rPr>
        <w:t>¿Qué asientos contables debe reconocer la compañía durante el año 2016? Sea muy preciso en los nombres de las c</w:t>
      </w:r>
      <w:bookmarkStart w:id="0" w:name="_GoBack"/>
      <w:bookmarkEnd w:id="0"/>
      <w:r w:rsidRPr="00645C33">
        <w:rPr>
          <w:sz w:val="22"/>
          <w:szCs w:val="22"/>
        </w:rPr>
        <w:t>uentas contables en los asientos.</w:t>
      </w:r>
    </w:p>
    <w:p w14:paraId="57B8BDDE" w14:textId="77777777" w:rsidR="00A65F19" w:rsidRPr="00645C33" w:rsidRDefault="00A65F19" w:rsidP="00DE011B">
      <w:pPr>
        <w:jc w:val="both"/>
        <w:rPr>
          <w:color w:val="4F81BD" w:themeColor="accent1"/>
          <w:sz w:val="22"/>
          <w:szCs w:val="22"/>
        </w:rPr>
      </w:pPr>
    </w:p>
    <w:p w14:paraId="6558C610" w14:textId="77777777" w:rsidR="00A65F19" w:rsidRPr="00645C33" w:rsidRDefault="00A65F19" w:rsidP="00DE011B">
      <w:pPr>
        <w:jc w:val="both"/>
        <w:rPr>
          <w:color w:val="4F81BD" w:themeColor="accent1"/>
          <w:sz w:val="22"/>
          <w:szCs w:val="22"/>
        </w:rPr>
      </w:pPr>
      <w:r w:rsidRPr="00645C33">
        <w:rPr>
          <w:color w:val="4F81BD" w:themeColor="accent1"/>
          <w:sz w:val="22"/>
          <w:szCs w:val="22"/>
        </w:rPr>
        <w:t>Respuesta:</w:t>
      </w:r>
    </w:p>
    <w:p w14:paraId="19B348EE" w14:textId="77777777" w:rsidR="00A65F19" w:rsidRPr="00645C33" w:rsidRDefault="00A65F19" w:rsidP="00DE011B">
      <w:pPr>
        <w:jc w:val="both"/>
        <w:rPr>
          <w:color w:val="4F81BD" w:themeColor="accent1"/>
          <w:sz w:val="22"/>
          <w:szCs w:val="22"/>
        </w:rPr>
      </w:pPr>
    </w:p>
    <w:p w14:paraId="0E018245" w14:textId="77777777" w:rsidR="00A65F19" w:rsidRPr="00645C33" w:rsidRDefault="00A65F19" w:rsidP="00DE011B">
      <w:pPr>
        <w:jc w:val="both"/>
        <w:rPr>
          <w:color w:val="4F81BD" w:themeColor="accent1"/>
          <w:sz w:val="22"/>
          <w:szCs w:val="22"/>
        </w:rPr>
      </w:pPr>
      <w:r w:rsidRPr="00645C33">
        <w:rPr>
          <w:color w:val="4F81BD" w:themeColor="accent1"/>
          <w:sz w:val="22"/>
          <w:szCs w:val="22"/>
        </w:rPr>
        <w:t>Valor justo del terreno:</w:t>
      </w:r>
    </w:p>
    <w:p w14:paraId="6AEF4032"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777EA1AA" w14:textId="77777777" w:rsidR="00A65F19" w:rsidRPr="00645C33" w:rsidRDefault="00A65F19" w:rsidP="00DE011B">
      <w:pPr>
        <w:jc w:val="both"/>
        <w:rPr>
          <w:color w:val="4F81BD" w:themeColor="accent1"/>
          <w:sz w:val="22"/>
          <w:szCs w:val="22"/>
        </w:rPr>
      </w:pPr>
      <w:r w:rsidRPr="00645C33">
        <w:rPr>
          <w:color w:val="4F81BD" w:themeColor="accent1"/>
          <w:sz w:val="22"/>
          <w:szCs w:val="22"/>
        </w:rPr>
        <w:t>Terreno</w:t>
      </w:r>
      <w:r w:rsidRPr="00645C33">
        <w:rPr>
          <w:color w:val="4F81BD" w:themeColor="accent1"/>
          <w:sz w:val="22"/>
          <w:szCs w:val="22"/>
        </w:rPr>
        <w:tab/>
      </w:r>
      <w:r w:rsidRPr="00645C33">
        <w:rPr>
          <w:color w:val="4F81BD" w:themeColor="accent1"/>
          <w:sz w:val="22"/>
          <w:szCs w:val="22"/>
        </w:rPr>
        <w:tab/>
        <w:t>25.000</w:t>
      </w:r>
    </w:p>
    <w:p w14:paraId="500CFF5A"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t>Reserva</w:t>
      </w: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25.000</w:t>
      </w:r>
    </w:p>
    <w:p w14:paraId="1DACFEA2"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10B145A7" w14:textId="77777777" w:rsidR="00A65F19" w:rsidRPr="00645C33" w:rsidRDefault="00A65F19" w:rsidP="00DE011B">
      <w:pPr>
        <w:jc w:val="both"/>
        <w:rPr>
          <w:color w:val="4F81BD" w:themeColor="accent1"/>
          <w:sz w:val="22"/>
          <w:szCs w:val="22"/>
        </w:rPr>
      </w:pPr>
    </w:p>
    <w:p w14:paraId="7BC9BF01" w14:textId="77777777" w:rsidR="00A65F19" w:rsidRPr="00645C33" w:rsidRDefault="00A65F19" w:rsidP="00DE011B">
      <w:pPr>
        <w:jc w:val="both"/>
        <w:rPr>
          <w:color w:val="4F81BD" w:themeColor="accent1"/>
          <w:sz w:val="22"/>
          <w:szCs w:val="22"/>
        </w:rPr>
      </w:pPr>
      <w:r w:rsidRPr="00645C33">
        <w:rPr>
          <w:color w:val="4F81BD" w:themeColor="accent1"/>
          <w:sz w:val="22"/>
          <w:szCs w:val="22"/>
        </w:rPr>
        <w:t>Depreciación:</w:t>
      </w:r>
    </w:p>
    <w:p w14:paraId="05B17111"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034B5BA4" w14:textId="77777777" w:rsidR="00A65F19" w:rsidRPr="00645C33" w:rsidRDefault="00A65F19" w:rsidP="00DE011B">
      <w:pPr>
        <w:jc w:val="both"/>
        <w:rPr>
          <w:color w:val="4F81BD" w:themeColor="accent1"/>
          <w:sz w:val="22"/>
          <w:szCs w:val="22"/>
        </w:rPr>
      </w:pPr>
      <w:r w:rsidRPr="00645C33">
        <w:rPr>
          <w:color w:val="4F81BD" w:themeColor="accent1"/>
          <w:sz w:val="22"/>
          <w:szCs w:val="22"/>
        </w:rPr>
        <w:t>Gasto por depreciación Maquinaria</w:t>
      </w:r>
      <w:r w:rsidRPr="00645C33">
        <w:rPr>
          <w:color w:val="4F81BD" w:themeColor="accent1"/>
          <w:sz w:val="22"/>
          <w:szCs w:val="22"/>
        </w:rPr>
        <w:tab/>
        <w:t>30.571 (*)</w:t>
      </w:r>
    </w:p>
    <w:p w14:paraId="7D075A79" w14:textId="77777777" w:rsidR="00A65F19" w:rsidRPr="00645C33" w:rsidRDefault="00A65F19" w:rsidP="00DE011B">
      <w:pPr>
        <w:jc w:val="both"/>
        <w:rPr>
          <w:color w:val="4F81BD" w:themeColor="accent1"/>
          <w:sz w:val="22"/>
          <w:szCs w:val="22"/>
        </w:rPr>
      </w:pPr>
      <w:r w:rsidRPr="00645C33">
        <w:rPr>
          <w:color w:val="4F81BD" w:themeColor="accent1"/>
          <w:sz w:val="22"/>
          <w:szCs w:val="22"/>
        </w:rPr>
        <w:t>Gasto por depreciación Vehículos</w:t>
      </w:r>
      <w:r w:rsidRPr="00645C33">
        <w:rPr>
          <w:color w:val="4F81BD" w:themeColor="accent1"/>
          <w:sz w:val="22"/>
          <w:szCs w:val="22"/>
        </w:rPr>
        <w:tab/>
        <w:t>9.000</w:t>
      </w:r>
    </w:p>
    <w:p w14:paraId="1E26C122"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t>Depreciación acumulada</w:t>
      </w:r>
      <w:r w:rsidRPr="00645C33">
        <w:rPr>
          <w:color w:val="4F81BD" w:themeColor="accent1"/>
          <w:sz w:val="22"/>
          <w:szCs w:val="22"/>
        </w:rPr>
        <w:tab/>
      </w:r>
      <w:r w:rsidRPr="00645C33">
        <w:rPr>
          <w:color w:val="4F81BD" w:themeColor="accent1"/>
          <w:sz w:val="22"/>
          <w:szCs w:val="22"/>
        </w:rPr>
        <w:tab/>
        <w:t>39.571</w:t>
      </w:r>
    </w:p>
    <w:p w14:paraId="4FCBF26B"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5E1FCE22" w14:textId="77777777" w:rsidR="00A65F19" w:rsidRPr="00645C33" w:rsidRDefault="00A65F19" w:rsidP="00DE011B">
      <w:pPr>
        <w:jc w:val="both"/>
        <w:rPr>
          <w:color w:val="4F81BD" w:themeColor="accent1"/>
          <w:sz w:val="22"/>
          <w:szCs w:val="22"/>
        </w:rPr>
      </w:pPr>
      <w:r w:rsidRPr="00645C33">
        <w:rPr>
          <w:color w:val="4F81BD" w:themeColor="accent1"/>
          <w:sz w:val="22"/>
          <w:szCs w:val="22"/>
        </w:rPr>
        <w:t>(*) Se calcula como (435.000-7.000)/14</w:t>
      </w:r>
    </w:p>
    <w:p w14:paraId="0533D156" w14:textId="77777777" w:rsidR="00A65F19" w:rsidRPr="00645C33" w:rsidRDefault="00A65F19" w:rsidP="00DE011B">
      <w:pPr>
        <w:jc w:val="both"/>
        <w:rPr>
          <w:color w:val="4F81BD" w:themeColor="accent1"/>
          <w:sz w:val="22"/>
          <w:szCs w:val="22"/>
        </w:rPr>
      </w:pPr>
    </w:p>
    <w:p w14:paraId="2FF281B2" w14:textId="77777777" w:rsidR="00A65F19" w:rsidRPr="00645C33" w:rsidRDefault="00A65F19" w:rsidP="00DE011B">
      <w:pPr>
        <w:jc w:val="both"/>
        <w:rPr>
          <w:color w:val="4F81BD" w:themeColor="accent1"/>
          <w:sz w:val="22"/>
          <w:szCs w:val="22"/>
        </w:rPr>
      </w:pPr>
      <w:r w:rsidRPr="00645C33">
        <w:rPr>
          <w:color w:val="4F81BD" w:themeColor="accent1"/>
          <w:sz w:val="22"/>
          <w:szCs w:val="22"/>
        </w:rPr>
        <w:t>Amortización de la reserva técnica en el patrimonio:</w:t>
      </w:r>
    </w:p>
    <w:p w14:paraId="05665F03"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4357A54B" w14:textId="77777777" w:rsidR="00A65F19" w:rsidRPr="00645C33" w:rsidRDefault="00A65F19" w:rsidP="00DE011B">
      <w:pPr>
        <w:jc w:val="both"/>
        <w:rPr>
          <w:color w:val="4F81BD" w:themeColor="accent1"/>
          <w:sz w:val="22"/>
          <w:szCs w:val="22"/>
        </w:rPr>
      </w:pPr>
      <w:r w:rsidRPr="00645C33">
        <w:rPr>
          <w:color w:val="4F81BD" w:themeColor="accent1"/>
          <w:sz w:val="22"/>
          <w:szCs w:val="22"/>
        </w:rPr>
        <w:t>Reserva</w:t>
      </w:r>
      <w:r w:rsidRPr="00645C33">
        <w:rPr>
          <w:color w:val="4F81BD" w:themeColor="accent1"/>
          <w:sz w:val="22"/>
          <w:szCs w:val="22"/>
        </w:rPr>
        <w:tab/>
      </w:r>
      <w:r w:rsidRPr="00645C33">
        <w:rPr>
          <w:color w:val="4F81BD" w:themeColor="accent1"/>
          <w:sz w:val="22"/>
          <w:szCs w:val="22"/>
        </w:rPr>
        <w:tab/>
        <w:t>9.705 (*)</w:t>
      </w:r>
    </w:p>
    <w:p w14:paraId="146D18B9"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t>Gasto por depreciación Maquinaria</w:t>
      </w:r>
      <w:r w:rsidRPr="00645C33">
        <w:rPr>
          <w:color w:val="4F81BD" w:themeColor="accent1"/>
          <w:sz w:val="22"/>
          <w:szCs w:val="22"/>
        </w:rPr>
        <w:tab/>
      </w:r>
      <w:r w:rsidRPr="00645C33">
        <w:rPr>
          <w:color w:val="4F81BD" w:themeColor="accent1"/>
          <w:sz w:val="22"/>
          <w:szCs w:val="22"/>
        </w:rPr>
        <w:tab/>
        <w:t>9.705</w:t>
      </w:r>
    </w:p>
    <w:p w14:paraId="385A28F4"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75E1F7DF" w14:textId="77777777" w:rsidR="00A65F19" w:rsidRPr="00645C33" w:rsidRDefault="00A65F19" w:rsidP="00DE011B">
      <w:pPr>
        <w:jc w:val="both"/>
        <w:rPr>
          <w:color w:val="4F81BD" w:themeColor="accent1"/>
          <w:sz w:val="22"/>
          <w:szCs w:val="22"/>
        </w:rPr>
      </w:pPr>
      <w:r w:rsidRPr="00645C33">
        <w:rPr>
          <w:color w:val="4F81BD" w:themeColor="accent1"/>
          <w:sz w:val="22"/>
          <w:szCs w:val="22"/>
        </w:rPr>
        <w:t>(*) Se calcula como 135.867/14</w:t>
      </w:r>
    </w:p>
    <w:p w14:paraId="78EF210A" w14:textId="77777777" w:rsidR="00A65F19" w:rsidRPr="00645C33" w:rsidRDefault="00A65F19" w:rsidP="00DE011B">
      <w:pPr>
        <w:jc w:val="both"/>
        <w:rPr>
          <w:color w:val="4F81BD" w:themeColor="accent1"/>
          <w:sz w:val="22"/>
          <w:szCs w:val="22"/>
        </w:rPr>
      </w:pPr>
    </w:p>
    <w:p w14:paraId="08D386BB" w14:textId="77777777" w:rsidR="00A65F19" w:rsidRPr="00645C33" w:rsidRDefault="00A65F19" w:rsidP="00DE011B">
      <w:pPr>
        <w:jc w:val="both"/>
        <w:rPr>
          <w:color w:val="4F81BD" w:themeColor="accent1"/>
          <w:sz w:val="22"/>
          <w:szCs w:val="22"/>
        </w:rPr>
      </w:pPr>
      <w:r w:rsidRPr="00645C33">
        <w:rPr>
          <w:color w:val="4F81BD" w:themeColor="accent1"/>
          <w:sz w:val="22"/>
          <w:szCs w:val="22"/>
        </w:rPr>
        <w:t>Valor justo Maquinaria</w:t>
      </w:r>
    </w:p>
    <w:p w14:paraId="35E45E6B"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15070857" w14:textId="77777777" w:rsidR="00A65F19" w:rsidRPr="00645C33" w:rsidRDefault="00A65F19" w:rsidP="00DE011B">
      <w:pPr>
        <w:jc w:val="both"/>
        <w:rPr>
          <w:color w:val="4F81BD" w:themeColor="accent1"/>
          <w:sz w:val="22"/>
          <w:szCs w:val="22"/>
        </w:rPr>
      </w:pPr>
      <w:r w:rsidRPr="00645C33">
        <w:rPr>
          <w:color w:val="4F81BD" w:themeColor="accent1"/>
          <w:sz w:val="22"/>
          <w:szCs w:val="22"/>
        </w:rPr>
        <w:t>Reserva</w:t>
      </w: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126.162</w:t>
      </w:r>
    </w:p>
    <w:p w14:paraId="49D7A06F" w14:textId="77777777" w:rsidR="00A65F19" w:rsidRPr="00645C33" w:rsidRDefault="00A65F19" w:rsidP="00DE011B">
      <w:pPr>
        <w:jc w:val="both"/>
        <w:rPr>
          <w:color w:val="4F81BD" w:themeColor="accent1"/>
          <w:sz w:val="22"/>
          <w:szCs w:val="22"/>
        </w:rPr>
      </w:pPr>
      <w:r w:rsidRPr="00645C33">
        <w:rPr>
          <w:color w:val="4F81BD" w:themeColor="accent1"/>
          <w:sz w:val="22"/>
          <w:szCs w:val="22"/>
        </w:rPr>
        <w:t>Pérdida en resultado</w:t>
      </w:r>
      <w:r w:rsidRPr="00645C33">
        <w:rPr>
          <w:color w:val="4F81BD" w:themeColor="accent1"/>
          <w:sz w:val="22"/>
          <w:szCs w:val="22"/>
        </w:rPr>
        <w:tab/>
      </w:r>
      <w:r w:rsidRPr="00645C33">
        <w:rPr>
          <w:color w:val="4F81BD" w:themeColor="accent1"/>
          <w:sz w:val="22"/>
          <w:szCs w:val="22"/>
        </w:rPr>
        <w:tab/>
        <w:t>158.267</w:t>
      </w:r>
    </w:p>
    <w:p w14:paraId="7032B051" w14:textId="77777777" w:rsidR="00A65F19" w:rsidRPr="00645C33" w:rsidRDefault="00A65F19" w:rsidP="00DE011B">
      <w:pPr>
        <w:jc w:val="both"/>
        <w:rPr>
          <w:color w:val="4F81BD" w:themeColor="accent1"/>
          <w:sz w:val="22"/>
          <w:szCs w:val="22"/>
        </w:rPr>
      </w:pPr>
      <w:r w:rsidRPr="00645C33">
        <w:rPr>
          <w:color w:val="4F81BD" w:themeColor="accent1"/>
          <w:sz w:val="22"/>
          <w:szCs w:val="22"/>
        </w:rPr>
        <w:t>Depreciación acumulada</w:t>
      </w:r>
      <w:r w:rsidRPr="00645C33">
        <w:rPr>
          <w:color w:val="4F81BD" w:themeColor="accent1"/>
          <w:sz w:val="22"/>
          <w:szCs w:val="22"/>
        </w:rPr>
        <w:tab/>
        <w:t>30.571 (*)</w:t>
      </w:r>
    </w:p>
    <w:p w14:paraId="63A30624" w14:textId="77777777" w:rsidR="00A65F19" w:rsidRPr="00645C33" w:rsidRDefault="00A65F19" w:rsidP="00DE011B">
      <w:pPr>
        <w:jc w:val="both"/>
        <w:rPr>
          <w:color w:val="4F81BD" w:themeColor="accent1"/>
          <w:sz w:val="22"/>
          <w:szCs w:val="22"/>
        </w:rPr>
      </w:pPr>
      <w:r w:rsidRPr="00645C33">
        <w:rPr>
          <w:color w:val="4F81BD" w:themeColor="accent1"/>
          <w:sz w:val="22"/>
          <w:szCs w:val="22"/>
        </w:rPr>
        <w:tab/>
      </w:r>
      <w:r w:rsidRPr="00645C33">
        <w:rPr>
          <w:color w:val="4F81BD" w:themeColor="accent1"/>
          <w:sz w:val="22"/>
          <w:szCs w:val="22"/>
        </w:rPr>
        <w:tab/>
      </w:r>
      <w:r w:rsidRPr="00645C33">
        <w:rPr>
          <w:color w:val="4F81BD" w:themeColor="accent1"/>
          <w:sz w:val="22"/>
          <w:szCs w:val="22"/>
        </w:rPr>
        <w:tab/>
        <w:t>Maquinaria</w:t>
      </w:r>
      <w:r w:rsidRPr="00645C33">
        <w:rPr>
          <w:color w:val="4F81BD" w:themeColor="accent1"/>
          <w:sz w:val="22"/>
          <w:szCs w:val="22"/>
        </w:rPr>
        <w:tab/>
      </w:r>
      <w:r w:rsidRPr="00645C33">
        <w:rPr>
          <w:color w:val="4F81BD" w:themeColor="accent1"/>
          <w:sz w:val="22"/>
          <w:szCs w:val="22"/>
        </w:rPr>
        <w:tab/>
        <w:t>315.000 (*)</w:t>
      </w:r>
    </w:p>
    <w:p w14:paraId="002F7085" w14:textId="77777777" w:rsidR="00A65F19" w:rsidRPr="00645C33" w:rsidRDefault="00A65F19" w:rsidP="00DE011B">
      <w:pPr>
        <w:jc w:val="both"/>
        <w:rPr>
          <w:color w:val="4F81BD" w:themeColor="accent1"/>
          <w:sz w:val="22"/>
          <w:szCs w:val="22"/>
        </w:rPr>
      </w:pPr>
      <w:r w:rsidRPr="00645C33">
        <w:rPr>
          <w:color w:val="4F81BD" w:themeColor="accent1"/>
          <w:sz w:val="22"/>
          <w:szCs w:val="22"/>
        </w:rPr>
        <w:t>---x---</w:t>
      </w:r>
    </w:p>
    <w:p w14:paraId="36FC3ED6" w14:textId="77777777" w:rsidR="00A65F19" w:rsidRPr="00645C33" w:rsidRDefault="00A65F19" w:rsidP="00DE011B">
      <w:pPr>
        <w:jc w:val="both"/>
        <w:rPr>
          <w:color w:val="4F81BD" w:themeColor="accent1"/>
          <w:sz w:val="22"/>
          <w:szCs w:val="22"/>
        </w:rPr>
      </w:pPr>
      <w:r w:rsidRPr="00645C33">
        <w:rPr>
          <w:color w:val="4F81BD" w:themeColor="accent1"/>
          <w:sz w:val="22"/>
          <w:szCs w:val="22"/>
        </w:rPr>
        <w:lastRenderedPageBreak/>
        <w:t>(*) Como la política es dejar en cero la depreciación acumulada, se debe eliminar. Aquí solo se elimina la del año 2016 ya que la del año 2015 habría quedado eliminada al momento de hacer la retasación del año 2015.</w:t>
      </w:r>
    </w:p>
    <w:p w14:paraId="10C28A37" w14:textId="77777777" w:rsidR="0036582E" w:rsidRPr="00645C33" w:rsidRDefault="0036582E" w:rsidP="00DE011B">
      <w:pPr>
        <w:pStyle w:val="BodyText1"/>
        <w:spacing w:after="0" w:line="240" w:lineRule="auto"/>
        <w:jc w:val="both"/>
        <w:rPr>
          <w:rFonts w:ascii="Times New Roman" w:hAnsi="Times New Roman" w:cs="Times New Roman"/>
          <w:lang w:val="es-CL"/>
        </w:rPr>
      </w:pPr>
    </w:p>
    <w:sectPr w:rsidR="0036582E" w:rsidRPr="00645C33" w:rsidSect="00235577">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373EA" w14:textId="77777777" w:rsidR="00C1115D" w:rsidRDefault="00C1115D" w:rsidP="00235577">
      <w:r>
        <w:separator/>
      </w:r>
    </w:p>
  </w:endnote>
  <w:endnote w:type="continuationSeparator" w:id="0">
    <w:p w14:paraId="62F70A36" w14:textId="77777777" w:rsidR="00C1115D" w:rsidRDefault="00C1115D" w:rsidP="0023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YInterstate">
    <w:altName w:val="Corbel"/>
    <w:charset w:val="00"/>
    <w:family w:val="auto"/>
    <w:pitch w:val="variable"/>
    <w:sig w:usb0="00000001" w:usb1="5000206A" w:usb2="00000000" w:usb3="00000000" w:csb0="0000009F" w:csb1="00000000"/>
  </w:font>
  <w:font w:name="EYInterstate Light">
    <w:altName w:val="Courier ProportionalThai"/>
    <w:charset w:val="00"/>
    <w:family w:val="auto"/>
    <w:pitch w:val="variable"/>
    <w:sig w:usb0="00000001" w:usb1="5000206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823836"/>
      <w:docPartObj>
        <w:docPartGallery w:val="Page Numbers (Bottom of Page)"/>
        <w:docPartUnique/>
      </w:docPartObj>
    </w:sdtPr>
    <w:sdtEndPr/>
    <w:sdtContent>
      <w:p w14:paraId="6FF01D86" w14:textId="77777777" w:rsidR="00235577" w:rsidRDefault="00235577" w:rsidP="00235577">
        <w:pPr>
          <w:pStyle w:val="Footer"/>
          <w:tabs>
            <w:tab w:val="clear" w:pos="8838"/>
          </w:tabs>
          <w:ind w:right="-518"/>
          <w:jc w:val="right"/>
        </w:pPr>
        <w:r>
          <w:fldChar w:fldCharType="begin"/>
        </w:r>
        <w:r>
          <w:instrText>PAGE   \* MERGEFORMAT</w:instrText>
        </w:r>
        <w:r>
          <w:fldChar w:fldCharType="separate"/>
        </w:r>
        <w:r w:rsidR="00567C62" w:rsidRPr="00567C62">
          <w:rPr>
            <w:noProof/>
            <w:lang w:val="es-ES"/>
          </w:rPr>
          <w:t>10</w:t>
        </w:r>
        <w:r>
          <w:fldChar w:fldCharType="end"/>
        </w:r>
      </w:p>
    </w:sdtContent>
  </w:sdt>
  <w:p w14:paraId="69A99EDB" w14:textId="77777777" w:rsidR="00235577" w:rsidRDefault="00235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F981D" w14:textId="77777777" w:rsidR="00C1115D" w:rsidRDefault="00C1115D" w:rsidP="00235577">
      <w:r>
        <w:separator/>
      </w:r>
    </w:p>
  </w:footnote>
  <w:footnote w:type="continuationSeparator" w:id="0">
    <w:p w14:paraId="3FC8DDEB" w14:textId="77777777" w:rsidR="00C1115D" w:rsidRDefault="00C1115D" w:rsidP="00235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3F2FA" w14:textId="77777777" w:rsidR="00C23705" w:rsidRPr="00C23705" w:rsidRDefault="00C23705" w:rsidP="00C23705">
    <w:pPr>
      <w:pStyle w:val="Header"/>
      <w:tabs>
        <w:tab w:val="clear" w:pos="4419"/>
        <w:tab w:val="left" w:pos="7371"/>
      </w:tabs>
      <w:jc w:val="center"/>
      <w:rPr>
        <w:b/>
        <w:sz w:val="22"/>
        <w:szCs w:val="22"/>
      </w:rPr>
    </w:pPr>
    <w:r>
      <w:rPr>
        <w:noProof/>
        <w:sz w:val="22"/>
        <w:szCs w:val="22"/>
        <w:lang w:val="en-US" w:eastAsia="en-US"/>
      </w:rPr>
      <mc:AlternateContent>
        <mc:Choice Requires="wps">
          <w:drawing>
            <wp:anchor distT="0" distB="0" distL="114300" distR="114300" simplePos="0" relativeHeight="251659264" behindDoc="0" locked="0" layoutInCell="1" allowOverlap="1" wp14:anchorId="4DFBF3A6" wp14:editId="55BF1200">
              <wp:simplePos x="0" y="0"/>
              <wp:positionH relativeFrom="column">
                <wp:posOffset>5391785</wp:posOffset>
              </wp:positionH>
              <wp:positionV relativeFrom="paragraph">
                <wp:posOffset>-173990</wp:posOffset>
              </wp:positionV>
              <wp:extent cx="714375" cy="428625"/>
              <wp:effectExtent l="9525" t="9525" r="9525" b="952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4635E" id="Rectángulo 5" o:spid="_x0000_s1026" style="position:absolute;margin-left:424.55pt;margin-top:-13.7pt;width:56.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"/>
          </w:pict>
        </mc:Fallback>
      </mc:AlternateContent>
    </w:r>
    <w:r>
      <w:rPr>
        <w:sz w:val="22"/>
        <w:szCs w:val="22"/>
      </w:rPr>
      <w:tab/>
    </w:r>
    <w:r w:rsidRPr="00C23705">
      <w:rPr>
        <w:b/>
        <w:sz w:val="22"/>
        <w:szCs w:val="22"/>
      </w:rPr>
      <w:t xml:space="preserve">Número </w:t>
    </w:r>
    <w:r w:rsidRPr="00C23705">
      <w:rPr>
        <w:b/>
        <w:sz w:val="22"/>
        <w:szCs w:val="22"/>
      </w:rPr>
      <w:tab/>
    </w:r>
  </w:p>
  <w:p w14:paraId="3F2D308B" w14:textId="77777777" w:rsidR="00235577" w:rsidRDefault="00235577" w:rsidP="00235577">
    <w:pPr>
      <w:pStyle w:val="Header"/>
    </w:pPr>
  </w:p>
  <w:p w14:paraId="43AC2887" w14:textId="77777777" w:rsidR="00235577" w:rsidRDefault="002355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95F"/>
    <w:multiLevelType w:val="hybridMultilevel"/>
    <w:tmpl w:val="8F449AF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3E75A33"/>
    <w:multiLevelType w:val="hybridMultilevel"/>
    <w:tmpl w:val="2530F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4867"/>
    <w:multiLevelType w:val="hybridMultilevel"/>
    <w:tmpl w:val="D71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5597B"/>
    <w:multiLevelType w:val="hybridMultilevel"/>
    <w:tmpl w:val="C900983A"/>
    <w:lvl w:ilvl="0" w:tplc="0409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F386DCB"/>
    <w:multiLevelType w:val="hybridMultilevel"/>
    <w:tmpl w:val="8196B95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E93E6A"/>
    <w:multiLevelType w:val="hybridMultilevel"/>
    <w:tmpl w:val="483A5FB4"/>
    <w:lvl w:ilvl="0" w:tplc="FDC4D370">
      <w:start w:val="1"/>
      <w:numFmt w:val="bullet"/>
      <w:lvlText w:val="►"/>
      <w:lvlJc w:val="left"/>
      <w:pPr>
        <w:tabs>
          <w:tab w:val="num" w:pos="720"/>
        </w:tabs>
        <w:ind w:left="720" w:hanging="360"/>
      </w:pPr>
      <w:rPr>
        <w:rFonts w:ascii="Arial" w:hAnsi="Arial" w:hint="default"/>
      </w:rPr>
    </w:lvl>
    <w:lvl w:ilvl="1" w:tplc="FAC60314" w:tentative="1">
      <w:start w:val="1"/>
      <w:numFmt w:val="bullet"/>
      <w:lvlText w:val="►"/>
      <w:lvlJc w:val="left"/>
      <w:pPr>
        <w:tabs>
          <w:tab w:val="num" w:pos="1440"/>
        </w:tabs>
        <w:ind w:left="1440" w:hanging="360"/>
      </w:pPr>
      <w:rPr>
        <w:rFonts w:ascii="Arial" w:hAnsi="Arial" w:hint="default"/>
      </w:rPr>
    </w:lvl>
    <w:lvl w:ilvl="2" w:tplc="6F78C43A" w:tentative="1">
      <w:start w:val="1"/>
      <w:numFmt w:val="bullet"/>
      <w:lvlText w:val="►"/>
      <w:lvlJc w:val="left"/>
      <w:pPr>
        <w:tabs>
          <w:tab w:val="num" w:pos="2160"/>
        </w:tabs>
        <w:ind w:left="2160" w:hanging="360"/>
      </w:pPr>
      <w:rPr>
        <w:rFonts w:ascii="Arial" w:hAnsi="Arial" w:hint="default"/>
      </w:rPr>
    </w:lvl>
    <w:lvl w:ilvl="3" w:tplc="57861632" w:tentative="1">
      <w:start w:val="1"/>
      <w:numFmt w:val="bullet"/>
      <w:lvlText w:val="►"/>
      <w:lvlJc w:val="left"/>
      <w:pPr>
        <w:tabs>
          <w:tab w:val="num" w:pos="2880"/>
        </w:tabs>
        <w:ind w:left="2880" w:hanging="360"/>
      </w:pPr>
      <w:rPr>
        <w:rFonts w:ascii="Arial" w:hAnsi="Arial" w:hint="default"/>
      </w:rPr>
    </w:lvl>
    <w:lvl w:ilvl="4" w:tplc="CBF4E8DA" w:tentative="1">
      <w:start w:val="1"/>
      <w:numFmt w:val="bullet"/>
      <w:lvlText w:val="►"/>
      <w:lvlJc w:val="left"/>
      <w:pPr>
        <w:tabs>
          <w:tab w:val="num" w:pos="3600"/>
        </w:tabs>
        <w:ind w:left="3600" w:hanging="360"/>
      </w:pPr>
      <w:rPr>
        <w:rFonts w:ascii="Arial" w:hAnsi="Arial" w:hint="default"/>
      </w:rPr>
    </w:lvl>
    <w:lvl w:ilvl="5" w:tplc="84423B58" w:tentative="1">
      <w:start w:val="1"/>
      <w:numFmt w:val="bullet"/>
      <w:lvlText w:val="►"/>
      <w:lvlJc w:val="left"/>
      <w:pPr>
        <w:tabs>
          <w:tab w:val="num" w:pos="4320"/>
        </w:tabs>
        <w:ind w:left="4320" w:hanging="360"/>
      </w:pPr>
      <w:rPr>
        <w:rFonts w:ascii="Arial" w:hAnsi="Arial" w:hint="default"/>
      </w:rPr>
    </w:lvl>
    <w:lvl w:ilvl="6" w:tplc="F8187932" w:tentative="1">
      <w:start w:val="1"/>
      <w:numFmt w:val="bullet"/>
      <w:lvlText w:val="►"/>
      <w:lvlJc w:val="left"/>
      <w:pPr>
        <w:tabs>
          <w:tab w:val="num" w:pos="5040"/>
        </w:tabs>
        <w:ind w:left="5040" w:hanging="360"/>
      </w:pPr>
      <w:rPr>
        <w:rFonts w:ascii="Arial" w:hAnsi="Arial" w:hint="default"/>
      </w:rPr>
    </w:lvl>
    <w:lvl w:ilvl="7" w:tplc="E74015FC" w:tentative="1">
      <w:start w:val="1"/>
      <w:numFmt w:val="bullet"/>
      <w:lvlText w:val="►"/>
      <w:lvlJc w:val="left"/>
      <w:pPr>
        <w:tabs>
          <w:tab w:val="num" w:pos="5760"/>
        </w:tabs>
        <w:ind w:left="5760" w:hanging="360"/>
      </w:pPr>
      <w:rPr>
        <w:rFonts w:ascii="Arial" w:hAnsi="Arial" w:hint="default"/>
      </w:rPr>
    </w:lvl>
    <w:lvl w:ilvl="8" w:tplc="AABA50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0A43D5"/>
    <w:multiLevelType w:val="hybridMultilevel"/>
    <w:tmpl w:val="1786F0B8"/>
    <w:lvl w:ilvl="0" w:tplc="A15852F6">
      <w:numFmt w:val="bullet"/>
      <w:lvlText w:val="-"/>
      <w:lvlJc w:val="left"/>
      <w:pPr>
        <w:ind w:left="720" w:hanging="360"/>
      </w:pPr>
      <w:rPr>
        <w:rFonts w:ascii="Times New Roman" w:eastAsia="Times New Roman" w:hAnsi="Times New Roman" w:cs="Times New Roman" w:hint="default"/>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5EE1F66"/>
    <w:multiLevelType w:val="hybridMultilevel"/>
    <w:tmpl w:val="73BA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59F"/>
    <w:multiLevelType w:val="hybridMultilevel"/>
    <w:tmpl w:val="869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04612"/>
    <w:multiLevelType w:val="hybridMultilevel"/>
    <w:tmpl w:val="8F449AF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 w15:restartNumberingAfterBreak="0">
    <w:nsid w:val="44B46A25"/>
    <w:multiLevelType w:val="hybridMultilevel"/>
    <w:tmpl w:val="0276CAF4"/>
    <w:lvl w:ilvl="0" w:tplc="004A7CA6">
      <w:start w:val="1"/>
      <w:numFmt w:val="lowerLetter"/>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469B75CB"/>
    <w:multiLevelType w:val="hybridMultilevel"/>
    <w:tmpl w:val="0BF890DA"/>
    <w:lvl w:ilvl="0" w:tplc="F2D2E1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2FC8"/>
    <w:multiLevelType w:val="hybridMultilevel"/>
    <w:tmpl w:val="63A05D50"/>
    <w:lvl w:ilvl="0" w:tplc="8EF4943E">
      <w:start w:val="1"/>
      <w:numFmt w:val="decimal"/>
      <w:lvlText w:val="%1."/>
      <w:lvlJc w:val="left"/>
      <w:pPr>
        <w:ind w:left="720" w:hanging="360"/>
      </w:pPr>
      <w:rPr>
        <w:rFonts w:ascii="Times New Roman" w:hAnsi="Times New Roman" w:cs="Times New Roman"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EBF1AEC"/>
    <w:multiLevelType w:val="hybridMultilevel"/>
    <w:tmpl w:val="0C929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141C1"/>
    <w:multiLevelType w:val="hybridMultilevel"/>
    <w:tmpl w:val="45ECC646"/>
    <w:lvl w:ilvl="0" w:tplc="E03A9910">
      <w:start w:val="1"/>
      <w:numFmt w:val="bullet"/>
      <w:pStyle w:val="Tablebullet1"/>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6EBC6D82"/>
    <w:multiLevelType w:val="hybridMultilevel"/>
    <w:tmpl w:val="C5CEE896"/>
    <w:lvl w:ilvl="0" w:tplc="04090001">
      <w:start w:val="1"/>
      <w:numFmt w:val="bullet"/>
      <w:lvlText w:val=""/>
      <w:lvlJc w:val="left"/>
      <w:pPr>
        <w:tabs>
          <w:tab w:val="num" w:pos="720"/>
        </w:tabs>
        <w:ind w:left="720" w:hanging="360"/>
      </w:pPr>
      <w:rPr>
        <w:rFonts w:ascii="Symbol" w:hAnsi="Symbol" w:hint="default"/>
      </w:rPr>
    </w:lvl>
    <w:lvl w:ilvl="1" w:tplc="0554DF84">
      <w:start w:val="49"/>
      <w:numFmt w:val="bullet"/>
      <w:lvlText w:val="►"/>
      <w:lvlJc w:val="left"/>
      <w:pPr>
        <w:tabs>
          <w:tab w:val="num" w:pos="1440"/>
        </w:tabs>
        <w:ind w:left="1440" w:hanging="360"/>
      </w:pPr>
      <w:rPr>
        <w:rFonts w:ascii="Arial" w:hAnsi="Arial" w:hint="default"/>
      </w:rPr>
    </w:lvl>
    <w:lvl w:ilvl="2" w:tplc="340A0001">
      <w:start w:val="1"/>
      <w:numFmt w:val="bullet"/>
      <w:lvlText w:val=""/>
      <w:lvlJc w:val="left"/>
      <w:pPr>
        <w:tabs>
          <w:tab w:val="num" w:pos="2160"/>
        </w:tabs>
        <w:ind w:left="2160" w:hanging="360"/>
      </w:pPr>
      <w:rPr>
        <w:rFonts w:ascii="Symbol" w:hAnsi="Symbol" w:hint="default"/>
      </w:rPr>
    </w:lvl>
    <w:lvl w:ilvl="3" w:tplc="6634710E">
      <w:start w:val="1"/>
      <w:numFmt w:val="bullet"/>
      <w:lvlText w:val="►"/>
      <w:lvlJc w:val="left"/>
      <w:pPr>
        <w:tabs>
          <w:tab w:val="num" w:pos="2880"/>
        </w:tabs>
        <w:ind w:left="2880" w:hanging="360"/>
      </w:pPr>
      <w:rPr>
        <w:rFonts w:ascii="Arial" w:hAnsi="Arial" w:hint="default"/>
      </w:rPr>
    </w:lvl>
    <w:lvl w:ilvl="4" w:tplc="A3B4DE3A" w:tentative="1">
      <w:start w:val="1"/>
      <w:numFmt w:val="bullet"/>
      <w:lvlText w:val="►"/>
      <w:lvlJc w:val="left"/>
      <w:pPr>
        <w:tabs>
          <w:tab w:val="num" w:pos="3600"/>
        </w:tabs>
        <w:ind w:left="3600" w:hanging="360"/>
      </w:pPr>
      <w:rPr>
        <w:rFonts w:ascii="Arial" w:hAnsi="Arial" w:hint="default"/>
      </w:rPr>
    </w:lvl>
    <w:lvl w:ilvl="5" w:tplc="DC6EFC14" w:tentative="1">
      <w:start w:val="1"/>
      <w:numFmt w:val="bullet"/>
      <w:lvlText w:val="►"/>
      <w:lvlJc w:val="left"/>
      <w:pPr>
        <w:tabs>
          <w:tab w:val="num" w:pos="4320"/>
        </w:tabs>
        <w:ind w:left="4320" w:hanging="360"/>
      </w:pPr>
      <w:rPr>
        <w:rFonts w:ascii="Arial" w:hAnsi="Arial" w:hint="default"/>
      </w:rPr>
    </w:lvl>
    <w:lvl w:ilvl="6" w:tplc="533237B4" w:tentative="1">
      <w:start w:val="1"/>
      <w:numFmt w:val="bullet"/>
      <w:lvlText w:val="►"/>
      <w:lvlJc w:val="left"/>
      <w:pPr>
        <w:tabs>
          <w:tab w:val="num" w:pos="5040"/>
        </w:tabs>
        <w:ind w:left="5040" w:hanging="360"/>
      </w:pPr>
      <w:rPr>
        <w:rFonts w:ascii="Arial" w:hAnsi="Arial" w:hint="default"/>
      </w:rPr>
    </w:lvl>
    <w:lvl w:ilvl="7" w:tplc="7F44E818" w:tentative="1">
      <w:start w:val="1"/>
      <w:numFmt w:val="bullet"/>
      <w:lvlText w:val="►"/>
      <w:lvlJc w:val="left"/>
      <w:pPr>
        <w:tabs>
          <w:tab w:val="num" w:pos="5760"/>
        </w:tabs>
        <w:ind w:left="5760" w:hanging="360"/>
      </w:pPr>
      <w:rPr>
        <w:rFonts w:ascii="Arial" w:hAnsi="Arial" w:hint="default"/>
      </w:rPr>
    </w:lvl>
    <w:lvl w:ilvl="8" w:tplc="A41894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E6119C"/>
    <w:multiLevelType w:val="hybridMultilevel"/>
    <w:tmpl w:val="6004EFB4"/>
    <w:lvl w:ilvl="0" w:tplc="609CA4A6">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E7310B"/>
    <w:multiLevelType w:val="hybridMultilevel"/>
    <w:tmpl w:val="54E89C5A"/>
    <w:lvl w:ilvl="0" w:tplc="9D5EB038">
      <w:start w:val="1"/>
      <w:numFmt w:val="bullet"/>
      <w:lvlText w:val="►"/>
      <w:lvlJc w:val="left"/>
      <w:pPr>
        <w:tabs>
          <w:tab w:val="num" w:pos="720"/>
        </w:tabs>
        <w:ind w:left="720" w:hanging="360"/>
      </w:pPr>
      <w:rPr>
        <w:rFonts w:ascii="Arial" w:hAnsi="Arial" w:hint="default"/>
      </w:rPr>
    </w:lvl>
    <w:lvl w:ilvl="1" w:tplc="0554DF84">
      <w:start w:val="49"/>
      <w:numFmt w:val="bullet"/>
      <w:lvlText w:val="►"/>
      <w:lvlJc w:val="left"/>
      <w:pPr>
        <w:tabs>
          <w:tab w:val="num" w:pos="1440"/>
        </w:tabs>
        <w:ind w:left="1440" w:hanging="360"/>
      </w:pPr>
      <w:rPr>
        <w:rFonts w:ascii="Arial" w:hAnsi="Arial" w:hint="default"/>
      </w:rPr>
    </w:lvl>
    <w:lvl w:ilvl="2" w:tplc="340A0001">
      <w:start w:val="1"/>
      <w:numFmt w:val="bullet"/>
      <w:lvlText w:val=""/>
      <w:lvlJc w:val="left"/>
      <w:pPr>
        <w:tabs>
          <w:tab w:val="num" w:pos="2160"/>
        </w:tabs>
        <w:ind w:left="2160" w:hanging="360"/>
      </w:pPr>
      <w:rPr>
        <w:rFonts w:ascii="Symbol" w:hAnsi="Symbol" w:hint="default"/>
      </w:rPr>
    </w:lvl>
    <w:lvl w:ilvl="3" w:tplc="6634710E">
      <w:start w:val="1"/>
      <w:numFmt w:val="bullet"/>
      <w:lvlText w:val="►"/>
      <w:lvlJc w:val="left"/>
      <w:pPr>
        <w:tabs>
          <w:tab w:val="num" w:pos="2880"/>
        </w:tabs>
        <w:ind w:left="2880" w:hanging="360"/>
      </w:pPr>
      <w:rPr>
        <w:rFonts w:ascii="Arial" w:hAnsi="Arial" w:hint="default"/>
      </w:rPr>
    </w:lvl>
    <w:lvl w:ilvl="4" w:tplc="A3B4DE3A" w:tentative="1">
      <w:start w:val="1"/>
      <w:numFmt w:val="bullet"/>
      <w:lvlText w:val="►"/>
      <w:lvlJc w:val="left"/>
      <w:pPr>
        <w:tabs>
          <w:tab w:val="num" w:pos="3600"/>
        </w:tabs>
        <w:ind w:left="3600" w:hanging="360"/>
      </w:pPr>
      <w:rPr>
        <w:rFonts w:ascii="Arial" w:hAnsi="Arial" w:hint="default"/>
      </w:rPr>
    </w:lvl>
    <w:lvl w:ilvl="5" w:tplc="DC6EFC14" w:tentative="1">
      <w:start w:val="1"/>
      <w:numFmt w:val="bullet"/>
      <w:lvlText w:val="►"/>
      <w:lvlJc w:val="left"/>
      <w:pPr>
        <w:tabs>
          <w:tab w:val="num" w:pos="4320"/>
        </w:tabs>
        <w:ind w:left="4320" w:hanging="360"/>
      </w:pPr>
      <w:rPr>
        <w:rFonts w:ascii="Arial" w:hAnsi="Arial" w:hint="default"/>
      </w:rPr>
    </w:lvl>
    <w:lvl w:ilvl="6" w:tplc="533237B4" w:tentative="1">
      <w:start w:val="1"/>
      <w:numFmt w:val="bullet"/>
      <w:lvlText w:val="►"/>
      <w:lvlJc w:val="left"/>
      <w:pPr>
        <w:tabs>
          <w:tab w:val="num" w:pos="5040"/>
        </w:tabs>
        <w:ind w:left="5040" w:hanging="360"/>
      </w:pPr>
      <w:rPr>
        <w:rFonts w:ascii="Arial" w:hAnsi="Arial" w:hint="default"/>
      </w:rPr>
    </w:lvl>
    <w:lvl w:ilvl="7" w:tplc="7F44E818" w:tentative="1">
      <w:start w:val="1"/>
      <w:numFmt w:val="bullet"/>
      <w:lvlText w:val="►"/>
      <w:lvlJc w:val="left"/>
      <w:pPr>
        <w:tabs>
          <w:tab w:val="num" w:pos="5760"/>
        </w:tabs>
        <w:ind w:left="5760" w:hanging="360"/>
      </w:pPr>
      <w:rPr>
        <w:rFonts w:ascii="Arial" w:hAnsi="Arial" w:hint="default"/>
      </w:rPr>
    </w:lvl>
    <w:lvl w:ilvl="8" w:tplc="A418947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9"/>
  </w:num>
  <w:num w:numId="7">
    <w:abstractNumId w:val="1"/>
  </w:num>
  <w:num w:numId="8">
    <w:abstractNumId w:val="13"/>
  </w:num>
  <w:num w:numId="9">
    <w:abstractNumId w:val="16"/>
  </w:num>
  <w:num w:numId="10">
    <w:abstractNumId w:val="17"/>
  </w:num>
  <w:num w:numId="11">
    <w:abstractNumId w:val="8"/>
  </w:num>
  <w:num w:numId="12">
    <w:abstractNumId w:val="2"/>
  </w:num>
  <w:num w:numId="13">
    <w:abstractNumId w:val="15"/>
  </w:num>
  <w:num w:numId="14">
    <w:abstractNumId w:val="5"/>
  </w:num>
  <w:num w:numId="15">
    <w:abstractNumId w:val="12"/>
  </w:num>
  <w:num w:numId="16">
    <w:abstractNumId w:val="7"/>
  </w:num>
  <w:num w:numId="17">
    <w:abstractNumId w:val="6"/>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56"/>
    <w:rsid w:val="000007EA"/>
    <w:rsid w:val="000135D3"/>
    <w:rsid w:val="00020161"/>
    <w:rsid w:val="00026422"/>
    <w:rsid w:val="00035DFA"/>
    <w:rsid w:val="000448A6"/>
    <w:rsid w:val="0006327A"/>
    <w:rsid w:val="00072658"/>
    <w:rsid w:val="00094065"/>
    <w:rsid w:val="000A0202"/>
    <w:rsid w:val="000C03B0"/>
    <w:rsid w:val="000C0C8B"/>
    <w:rsid w:val="000D0E7D"/>
    <w:rsid w:val="000D28E6"/>
    <w:rsid w:val="000D6821"/>
    <w:rsid w:val="000F147E"/>
    <w:rsid w:val="00111033"/>
    <w:rsid w:val="00116319"/>
    <w:rsid w:val="00131498"/>
    <w:rsid w:val="00133AED"/>
    <w:rsid w:val="00146754"/>
    <w:rsid w:val="00146BA7"/>
    <w:rsid w:val="001818CA"/>
    <w:rsid w:val="0018220C"/>
    <w:rsid w:val="00193724"/>
    <w:rsid w:val="001E37B5"/>
    <w:rsid w:val="001E710E"/>
    <w:rsid w:val="002127A2"/>
    <w:rsid w:val="0021521D"/>
    <w:rsid w:val="0023470A"/>
    <w:rsid w:val="00235577"/>
    <w:rsid w:val="00237705"/>
    <w:rsid w:val="002530A3"/>
    <w:rsid w:val="00254DF7"/>
    <w:rsid w:val="00284339"/>
    <w:rsid w:val="002A2298"/>
    <w:rsid w:val="002B0879"/>
    <w:rsid w:val="002C33A6"/>
    <w:rsid w:val="002D46C9"/>
    <w:rsid w:val="002D4BDC"/>
    <w:rsid w:val="002E1AED"/>
    <w:rsid w:val="002E2ABD"/>
    <w:rsid w:val="002F0F1A"/>
    <w:rsid w:val="002F775E"/>
    <w:rsid w:val="0030730C"/>
    <w:rsid w:val="00312A4C"/>
    <w:rsid w:val="00320E36"/>
    <w:rsid w:val="00325E19"/>
    <w:rsid w:val="003544D6"/>
    <w:rsid w:val="00360D5B"/>
    <w:rsid w:val="003642CC"/>
    <w:rsid w:val="00364E8F"/>
    <w:rsid w:val="0036582E"/>
    <w:rsid w:val="00366B63"/>
    <w:rsid w:val="0037340D"/>
    <w:rsid w:val="0037780D"/>
    <w:rsid w:val="00384602"/>
    <w:rsid w:val="00392D4D"/>
    <w:rsid w:val="00396263"/>
    <w:rsid w:val="003C354C"/>
    <w:rsid w:val="003C48ED"/>
    <w:rsid w:val="003D221C"/>
    <w:rsid w:val="003E7B84"/>
    <w:rsid w:val="004313D8"/>
    <w:rsid w:val="0043249F"/>
    <w:rsid w:val="004335EC"/>
    <w:rsid w:val="00433D2D"/>
    <w:rsid w:val="00436B2F"/>
    <w:rsid w:val="00464D4A"/>
    <w:rsid w:val="004665B1"/>
    <w:rsid w:val="00475B9A"/>
    <w:rsid w:val="00491227"/>
    <w:rsid w:val="004B1748"/>
    <w:rsid w:val="004B1ADB"/>
    <w:rsid w:val="004B1C2E"/>
    <w:rsid w:val="004B36D2"/>
    <w:rsid w:val="004C07C2"/>
    <w:rsid w:val="004C4593"/>
    <w:rsid w:val="004C4C7D"/>
    <w:rsid w:val="004C6CF9"/>
    <w:rsid w:val="004D06FF"/>
    <w:rsid w:val="004D2735"/>
    <w:rsid w:val="004E74F2"/>
    <w:rsid w:val="004F33B5"/>
    <w:rsid w:val="004F36FA"/>
    <w:rsid w:val="004F7F7B"/>
    <w:rsid w:val="00511148"/>
    <w:rsid w:val="00521FE2"/>
    <w:rsid w:val="005263D5"/>
    <w:rsid w:val="00526FE9"/>
    <w:rsid w:val="005350C2"/>
    <w:rsid w:val="00536213"/>
    <w:rsid w:val="005401EE"/>
    <w:rsid w:val="0055168F"/>
    <w:rsid w:val="00560427"/>
    <w:rsid w:val="00560F80"/>
    <w:rsid w:val="00567C62"/>
    <w:rsid w:val="00585097"/>
    <w:rsid w:val="00595E9F"/>
    <w:rsid w:val="005A31BA"/>
    <w:rsid w:val="005B6C77"/>
    <w:rsid w:val="005B74A5"/>
    <w:rsid w:val="005C4F88"/>
    <w:rsid w:val="005C7F84"/>
    <w:rsid w:val="005D72AB"/>
    <w:rsid w:val="005E2323"/>
    <w:rsid w:val="0060436E"/>
    <w:rsid w:val="00604C3A"/>
    <w:rsid w:val="006218C6"/>
    <w:rsid w:val="00623083"/>
    <w:rsid w:val="00623D58"/>
    <w:rsid w:val="00645C33"/>
    <w:rsid w:val="00646AAA"/>
    <w:rsid w:val="0067115D"/>
    <w:rsid w:val="006746B5"/>
    <w:rsid w:val="006833AA"/>
    <w:rsid w:val="00692A59"/>
    <w:rsid w:val="0069633E"/>
    <w:rsid w:val="006A5A22"/>
    <w:rsid w:val="006B00F5"/>
    <w:rsid w:val="006B2F4A"/>
    <w:rsid w:val="006B7C37"/>
    <w:rsid w:val="006C1511"/>
    <w:rsid w:val="006C2781"/>
    <w:rsid w:val="00711455"/>
    <w:rsid w:val="00726E3F"/>
    <w:rsid w:val="00730E08"/>
    <w:rsid w:val="0074007C"/>
    <w:rsid w:val="0074330B"/>
    <w:rsid w:val="00747999"/>
    <w:rsid w:val="00756C65"/>
    <w:rsid w:val="0077247B"/>
    <w:rsid w:val="00790493"/>
    <w:rsid w:val="007945BB"/>
    <w:rsid w:val="007A772E"/>
    <w:rsid w:val="007B5C0F"/>
    <w:rsid w:val="007B72AB"/>
    <w:rsid w:val="007C1E22"/>
    <w:rsid w:val="007C6183"/>
    <w:rsid w:val="007D6D69"/>
    <w:rsid w:val="007D7101"/>
    <w:rsid w:val="007E15AD"/>
    <w:rsid w:val="007E235D"/>
    <w:rsid w:val="007E7C3E"/>
    <w:rsid w:val="007F7DE5"/>
    <w:rsid w:val="00810A94"/>
    <w:rsid w:val="00823E0D"/>
    <w:rsid w:val="008333AB"/>
    <w:rsid w:val="0084325F"/>
    <w:rsid w:val="00843E63"/>
    <w:rsid w:val="00850F3E"/>
    <w:rsid w:val="0085653C"/>
    <w:rsid w:val="00872D33"/>
    <w:rsid w:val="008B44E7"/>
    <w:rsid w:val="008C00B6"/>
    <w:rsid w:val="008D2CBF"/>
    <w:rsid w:val="008E04B9"/>
    <w:rsid w:val="0090386D"/>
    <w:rsid w:val="009156C9"/>
    <w:rsid w:val="009168D0"/>
    <w:rsid w:val="00934D76"/>
    <w:rsid w:val="00955311"/>
    <w:rsid w:val="00965FE5"/>
    <w:rsid w:val="009A1B7F"/>
    <w:rsid w:val="009B7FE8"/>
    <w:rsid w:val="009C3383"/>
    <w:rsid w:val="009E5B56"/>
    <w:rsid w:val="009F241E"/>
    <w:rsid w:val="00A04638"/>
    <w:rsid w:val="00A17E9B"/>
    <w:rsid w:val="00A2011B"/>
    <w:rsid w:val="00A22E42"/>
    <w:rsid w:val="00A31868"/>
    <w:rsid w:val="00A41E45"/>
    <w:rsid w:val="00A55845"/>
    <w:rsid w:val="00A65F19"/>
    <w:rsid w:val="00A742C8"/>
    <w:rsid w:val="00A8346C"/>
    <w:rsid w:val="00AA0586"/>
    <w:rsid w:val="00AA7E61"/>
    <w:rsid w:val="00AE5776"/>
    <w:rsid w:val="00AE7FBA"/>
    <w:rsid w:val="00AF32A3"/>
    <w:rsid w:val="00AF5B09"/>
    <w:rsid w:val="00B14896"/>
    <w:rsid w:val="00B14B36"/>
    <w:rsid w:val="00B260BB"/>
    <w:rsid w:val="00B53EE9"/>
    <w:rsid w:val="00B969F7"/>
    <w:rsid w:val="00BB1E02"/>
    <w:rsid w:val="00BB61DC"/>
    <w:rsid w:val="00BC0882"/>
    <w:rsid w:val="00BE095E"/>
    <w:rsid w:val="00BE250E"/>
    <w:rsid w:val="00BE508F"/>
    <w:rsid w:val="00BF3CC2"/>
    <w:rsid w:val="00C1115D"/>
    <w:rsid w:val="00C118A5"/>
    <w:rsid w:val="00C2097A"/>
    <w:rsid w:val="00C23705"/>
    <w:rsid w:val="00C3127B"/>
    <w:rsid w:val="00C31479"/>
    <w:rsid w:val="00C42A54"/>
    <w:rsid w:val="00C463ED"/>
    <w:rsid w:val="00C466DE"/>
    <w:rsid w:val="00C635CA"/>
    <w:rsid w:val="00C909D5"/>
    <w:rsid w:val="00CB167C"/>
    <w:rsid w:val="00CB4FB4"/>
    <w:rsid w:val="00CE04DA"/>
    <w:rsid w:val="00CE4A3F"/>
    <w:rsid w:val="00CF3463"/>
    <w:rsid w:val="00D17D90"/>
    <w:rsid w:val="00D212A5"/>
    <w:rsid w:val="00D24EA9"/>
    <w:rsid w:val="00D437AB"/>
    <w:rsid w:val="00D456B7"/>
    <w:rsid w:val="00D46634"/>
    <w:rsid w:val="00D646EE"/>
    <w:rsid w:val="00DD0B55"/>
    <w:rsid w:val="00DD7502"/>
    <w:rsid w:val="00DE011B"/>
    <w:rsid w:val="00DE0B10"/>
    <w:rsid w:val="00DF3A2D"/>
    <w:rsid w:val="00E0668A"/>
    <w:rsid w:val="00E11BD1"/>
    <w:rsid w:val="00E14684"/>
    <w:rsid w:val="00E24586"/>
    <w:rsid w:val="00E372C5"/>
    <w:rsid w:val="00E56739"/>
    <w:rsid w:val="00E807E3"/>
    <w:rsid w:val="00E93B1B"/>
    <w:rsid w:val="00EC0475"/>
    <w:rsid w:val="00EF5FCF"/>
    <w:rsid w:val="00F039EC"/>
    <w:rsid w:val="00F1272C"/>
    <w:rsid w:val="00F4491D"/>
    <w:rsid w:val="00F54B73"/>
    <w:rsid w:val="00F8748D"/>
    <w:rsid w:val="00F91CD0"/>
    <w:rsid w:val="00F92C97"/>
    <w:rsid w:val="00FA78B7"/>
    <w:rsid w:val="00FB0734"/>
    <w:rsid w:val="00FB1AAE"/>
    <w:rsid w:val="00FB2786"/>
    <w:rsid w:val="00FC2334"/>
    <w:rsid w:val="00FC5F98"/>
    <w:rsid w:val="00FF69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D553"/>
  <w15:docId w15:val="{0EB7FDBA-C8CA-4E08-8C17-66DD2EA4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6DE"/>
    <w:pPr>
      <w:spacing w:after="0" w:line="240" w:lineRule="auto"/>
    </w:pPr>
    <w:rPr>
      <w:rFonts w:ascii="Times New Roman" w:eastAsia="Times New Roman" w:hAnsi="Times New Roman" w:cs="Times New Roman"/>
      <w:sz w:val="24"/>
      <w:szCs w:val="24"/>
      <w:lang w:eastAsia="es-CL"/>
    </w:rPr>
  </w:style>
  <w:style w:type="paragraph" w:styleId="Heading6">
    <w:name w:val="heading 6"/>
    <w:basedOn w:val="Normal"/>
    <w:next w:val="Normal"/>
    <w:link w:val="Heading6Char"/>
    <w:qFormat/>
    <w:rsid w:val="00146754"/>
    <w:pPr>
      <w:ind w:left="720"/>
      <w:jc w:val="both"/>
      <w:outlineLvl w:val="5"/>
    </w:pPr>
    <w:rPr>
      <w:rFonts w:cstheme="minorBidi"/>
      <w:color w:val="000000"/>
      <w:sz w:val="28"/>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146754"/>
    <w:rPr>
      <w:rFonts w:ascii="Times New Roman" w:eastAsia="Times New Roman" w:hAnsi="Times New Roman"/>
      <w:color w:val="000000"/>
      <w:sz w:val="28"/>
      <w:szCs w:val="24"/>
      <w:u w:val="single"/>
      <w:lang w:eastAsia="es-ES"/>
    </w:rPr>
  </w:style>
  <w:style w:type="paragraph" w:styleId="BalloonText">
    <w:name w:val="Balloon Text"/>
    <w:basedOn w:val="Normal"/>
    <w:link w:val="BalloonTextChar"/>
    <w:uiPriority w:val="99"/>
    <w:semiHidden/>
    <w:unhideWhenUsed/>
    <w:rsid w:val="00F8748D"/>
    <w:rPr>
      <w:rFonts w:ascii="Tahoma" w:hAnsi="Tahoma" w:cs="Tahoma"/>
      <w:sz w:val="16"/>
      <w:szCs w:val="16"/>
    </w:rPr>
  </w:style>
  <w:style w:type="character" w:customStyle="1" w:styleId="BalloonTextChar">
    <w:name w:val="Balloon Text Char"/>
    <w:basedOn w:val="DefaultParagraphFont"/>
    <w:link w:val="BalloonText"/>
    <w:uiPriority w:val="99"/>
    <w:semiHidden/>
    <w:rsid w:val="00F8748D"/>
    <w:rPr>
      <w:rFonts w:ascii="Tahoma" w:eastAsia="Times New Roman" w:hAnsi="Tahoma" w:cs="Tahoma"/>
      <w:sz w:val="16"/>
      <w:szCs w:val="16"/>
      <w:lang w:eastAsia="es-CL"/>
    </w:rPr>
  </w:style>
  <w:style w:type="paragraph" w:customStyle="1" w:styleId="BodyText1">
    <w:name w:val="Body Text1"/>
    <w:basedOn w:val="Normal"/>
    <w:qFormat/>
    <w:rsid w:val="00F8748D"/>
    <w:pPr>
      <w:overflowPunct w:val="0"/>
      <w:autoSpaceDE w:val="0"/>
      <w:autoSpaceDN w:val="0"/>
      <w:adjustRightInd w:val="0"/>
      <w:spacing w:after="160" w:line="320" w:lineRule="exact"/>
      <w:textAlignment w:val="baseline"/>
    </w:pPr>
    <w:rPr>
      <w:rFonts w:ascii="Arial" w:hAnsi="Arial" w:cs="Arial"/>
      <w:sz w:val="22"/>
      <w:szCs w:val="22"/>
      <w:lang w:val="en-US" w:eastAsia="en-US"/>
    </w:rPr>
  </w:style>
  <w:style w:type="paragraph" w:customStyle="1" w:styleId="Tablebullet1">
    <w:name w:val="Table bullet 1"/>
    <w:basedOn w:val="Normal"/>
    <w:link w:val="Tablebullet1Char"/>
    <w:autoRedefine/>
    <w:qFormat/>
    <w:rsid w:val="004F33B5"/>
    <w:pPr>
      <w:numPr>
        <w:numId w:val="1"/>
      </w:numPr>
      <w:overflowPunct w:val="0"/>
      <w:autoSpaceDE w:val="0"/>
      <w:autoSpaceDN w:val="0"/>
      <w:adjustRightInd w:val="0"/>
      <w:spacing w:before="60" w:after="60" w:line="320" w:lineRule="exact"/>
      <w:textAlignment w:val="baseline"/>
    </w:pPr>
    <w:rPr>
      <w:rFonts w:ascii="Arial" w:hAnsi="Arial"/>
      <w:bCs/>
      <w:sz w:val="22"/>
      <w:szCs w:val="20"/>
      <w:lang w:val="en-US" w:eastAsia="en-US"/>
    </w:rPr>
  </w:style>
  <w:style w:type="paragraph" w:customStyle="1" w:styleId="Tablebodytext">
    <w:name w:val="Table body text"/>
    <w:basedOn w:val="Normal"/>
    <w:link w:val="TablebodytextChar"/>
    <w:qFormat/>
    <w:rsid w:val="004F33B5"/>
    <w:pPr>
      <w:overflowPunct w:val="0"/>
      <w:autoSpaceDE w:val="0"/>
      <w:autoSpaceDN w:val="0"/>
      <w:adjustRightInd w:val="0"/>
      <w:spacing w:before="60" w:after="60" w:line="320" w:lineRule="exact"/>
      <w:ind w:left="540"/>
      <w:textAlignment w:val="baseline"/>
    </w:pPr>
    <w:rPr>
      <w:rFonts w:ascii="Arial" w:hAnsi="Arial"/>
      <w:sz w:val="22"/>
      <w:szCs w:val="20"/>
      <w:lang w:val="en-US" w:eastAsia="en-US"/>
    </w:rPr>
  </w:style>
  <w:style w:type="paragraph" w:customStyle="1" w:styleId="TablebodytextBold">
    <w:name w:val="Table body text + Bold"/>
    <w:basedOn w:val="Tablebodytext"/>
    <w:link w:val="TablebodytextBoldCharChar"/>
    <w:semiHidden/>
    <w:rsid w:val="004F33B5"/>
    <w:rPr>
      <w:rFonts w:ascii="Times New Roman" w:hAnsi="Times New Roman"/>
      <w:b/>
      <w:bCs/>
      <w:sz w:val="24"/>
    </w:rPr>
  </w:style>
  <w:style w:type="character" w:customStyle="1" w:styleId="TablebodytextBoldCharChar">
    <w:name w:val="Table body text + Bold Char Char"/>
    <w:basedOn w:val="TablebodytextChar"/>
    <w:link w:val="TablebodytextBold"/>
    <w:semiHidden/>
    <w:rsid w:val="004F33B5"/>
    <w:rPr>
      <w:rFonts w:ascii="Times New Roman" w:eastAsia="Times New Roman" w:hAnsi="Times New Roman" w:cs="Times New Roman"/>
      <w:b/>
      <w:bCs/>
      <w:sz w:val="24"/>
      <w:szCs w:val="20"/>
      <w:lang w:val="en-US"/>
    </w:rPr>
  </w:style>
  <w:style w:type="character" w:customStyle="1" w:styleId="TablebodytextChar">
    <w:name w:val="Table body text Char"/>
    <w:basedOn w:val="DefaultParagraphFont"/>
    <w:link w:val="Tablebodytext"/>
    <w:rsid w:val="004F33B5"/>
    <w:rPr>
      <w:rFonts w:ascii="Arial" w:eastAsia="Times New Roman" w:hAnsi="Arial" w:cs="Times New Roman"/>
      <w:szCs w:val="20"/>
      <w:lang w:val="en-US"/>
    </w:rPr>
  </w:style>
  <w:style w:type="character" w:customStyle="1" w:styleId="Tablebullet1Char">
    <w:name w:val="Table bullet 1 Char"/>
    <w:basedOn w:val="TablebodytextChar"/>
    <w:link w:val="Tablebullet1"/>
    <w:rsid w:val="004F33B5"/>
    <w:rPr>
      <w:rFonts w:ascii="Arial" w:eastAsia="Times New Roman" w:hAnsi="Arial" w:cs="Times New Roman"/>
      <w:bCs/>
      <w:szCs w:val="20"/>
      <w:lang w:val="en-US"/>
    </w:rPr>
  </w:style>
  <w:style w:type="paragraph" w:customStyle="1" w:styleId="Tableheadingcentered">
    <w:name w:val="Table heading centered"/>
    <w:qFormat/>
    <w:rsid w:val="004F33B5"/>
    <w:pPr>
      <w:widowControl w:val="0"/>
      <w:adjustRightInd w:val="0"/>
      <w:spacing w:before="60" w:after="60" w:line="220" w:lineRule="exact"/>
      <w:jc w:val="center"/>
      <w:textAlignment w:val="baseline"/>
    </w:pPr>
    <w:rPr>
      <w:rFonts w:ascii="EYInterstate" w:eastAsia="Times New Roman" w:hAnsi="EYInterstate" w:cs="Tahoma"/>
      <w:b/>
      <w:color w:val="000000"/>
      <w:spacing w:val="-3"/>
      <w:sz w:val="18"/>
      <w:szCs w:val="20"/>
      <w:lang w:val="en-US"/>
    </w:rPr>
  </w:style>
  <w:style w:type="paragraph" w:customStyle="1" w:styleId="Tablecopy">
    <w:name w:val="Table copy"/>
    <w:qFormat/>
    <w:rsid w:val="004F33B5"/>
    <w:pPr>
      <w:widowControl w:val="0"/>
      <w:adjustRightInd w:val="0"/>
      <w:spacing w:before="20" w:after="20" w:line="240" w:lineRule="exact"/>
      <w:textAlignment w:val="baseline"/>
    </w:pPr>
    <w:rPr>
      <w:rFonts w:ascii="EYInterstate Light" w:eastAsia="Times New Roman" w:hAnsi="EYInterstate Light" w:cs="Times New Roman"/>
      <w:color w:val="000000"/>
      <w:spacing w:val="-3"/>
      <w:sz w:val="18"/>
      <w:szCs w:val="20"/>
      <w:lang w:val="en-US"/>
    </w:rPr>
  </w:style>
  <w:style w:type="paragraph" w:customStyle="1" w:styleId="Table2">
    <w:name w:val="Table $2"/>
    <w:qFormat/>
    <w:rsid w:val="004F33B5"/>
    <w:pPr>
      <w:widowControl w:val="0"/>
      <w:tabs>
        <w:tab w:val="left" w:pos="216"/>
        <w:tab w:val="decimal" w:pos="864"/>
      </w:tabs>
      <w:adjustRightInd w:val="0"/>
      <w:spacing w:before="20" w:after="20" w:line="220" w:lineRule="exact"/>
      <w:textAlignment w:val="baseline"/>
    </w:pPr>
    <w:rPr>
      <w:rFonts w:ascii="EYInterstate Light" w:eastAsia="Times New Roman" w:hAnsi="EYInterstate Light" w:cs="Times New Roman"/>
      <w:color w:val="000000"/>
      <w:spacing w:val="-3"/>
      <w:sz w:val="18"/>
      <w:szCs w:val="20"/>
      <w:lang w:val="en-US"/>
    </w:rPr>
  </w:style>
  <w:style w:type="paragraph" w:styleId="ListParagraph">
    <w:name w:val="List Paragraph"/>
    <w:basedOn w:val="Normal"/>
    <w:uiPriority w:val="34"/>
    <w:qFormat/>
    <w:rsid w:val="00B53EE9"/>
    <w:pPr>
      <w:spacing w:after="200" w:line="276" w:lineRule="auto"/>
      <w:ind w:left="720"/>
      <w:contextualSpacing/>
    </w:pPr>
    <w:rPr>
      <w:rFonts w:ascii="Calibri" w:hAnsi="Calibri"/>
      <w:sz w:val="22"/>
      <w:szCs w:val="22"/>
      <w:lang w:val="en-US" w:eastAsia="en-US"/>
    </w:rPr>
  </w:style>
  <w:style w:type="character" w:styleId="CommentReference">
    <w:name w:val="annotation reference"/>
    <w:basedOn w:val="DefaultParagraphFont"/>
    <w:uiPriority w:val="99"/>
    <w:semiHidden/>
    <w:unhideWhenUsed/>
    <w:rsid w:val="006C2781"/>
    <w:rPr>
      <w:sz w:val="16"/>
      <w:szCs w:val="16"/>
    </w:rPr>
  </w:style>
  <w:style w:type="paragraph" w:styleId="CommentText">
    <w:name w:val="annotation text"/>
    <w:basedOn w:val="Normal"/>
    <w:link w:val="CommentTextChar"/>
    <w:uiPriority w:val="99"/>
    <w:semiHidden/>
    <w:unhideWhenUsed/>
    <w:rsid w:val="006C2781"/>
    <w:rPr>
      <w:sz w:val="20"/>
      <w:szCs w:val="20"/>
    </w:rPr>
  </w:style>
  <w:style w:type="character" w:customStyle="1" w:styleId="CommentTextChar">
    <w:name w:val="Comment Text Char"/>
    <w:basedOn w:val="DefaultParagraphFont"/>
    <w:link w:val="CommentText"/>
    <w:uiPriority w:val="99"/>
    <w:semiHidden/>
    <w:rsid w:val="006C2781"/>
    <w:rPr>
      <w:rFonts w:ascii="Times New Roman" w:eastAsia="Times New Roman" w:hAnsi="Times New Roman" w:cs="Times New Roman"/>
      <w:sz w:val="20"/>
      <w:szCs w:val="20"/>
      <w:lang w:eastAsia="es-CL"/>
    </w:rPr>
  </w:style>
  <w:style w:type="paragraph" w:styleId="CommentSubject">
    <w:name w:val="annotation subject"/>
    <w:basedOn w:val="CommentText"/>
    <w:next w:val="CommentText"/>
    <w:link w:val="CommentSubjectChar"/>
    <w:uiPriority w:val="99"/>
    <w:semiHidden/>
    <w:unhideWhenUsed/>
    <w:rsid w:val="006C2781"/>
    <w:rPr>
      <w:b/>
      <w:bCs/>
    </w:rPr>
  </w:style>
  <w:style w:type="character" w:customStyle="1" w:styleId="CommentSubjectChar">
    <w:name w:val="Comment Subject Char"/>
    <w:basedOn w:val="CommentTextChar"/>
    <w:link w:val="CommentSubject"/>
    <w:uiPriority w:val="99"/>
    <w:semiHidden/>
    <w:rsid w:val="006C2781"/>
    <w:rPr>
      <w:rFonts w:ascii="Times New Roman" w:eastAsia="Times New Roman" w:hAnsi="Times New Roman" w:cs="Times New Roman"/>
      <w:b/>
      <w:bCs/>
      <w:sz w:val="20"/>
      <w:szCs w:val="20"/>
      <w:lang w:eastAsia="es-CL"/>
    </w:rPr>
  </w:style>
  <w:style w:type="paragraph" w:styleId="Revision">
    <w:name w:val="Revision"/>
    <w:hidden/>
    <w:uiPriority w:val="99"/>
    <w:semiHidden/>
    <w:rsid w:val="006C2781"/>
    <w:pPr>
      <w:spacing w:after="0" w:line="240" w:lineRule="auto"/>
    </w:pPr>
    <w:rPr>
      <w:rFonts w:ascii="Times New Roman" w:eastAsia="Times New Roman" w:hAnsi="Times New Roman" w:cs="Times New Roman"/>
      <w:sz w:val="24"/>
      <w:szCs w:val="24"/>
      <w:lang w:eastAsia="es-CL"/>
    </w:rPr>
  </w:style>
  <w:style w:type="paragraph" w:styleId="Header">
    <w:name w:val="header"/>
    <w:basedOn w:val="Normal"/>
    <w:link w:val="HeaderChar"/>
    <w:uiPriority w:val="99"/>
    <w:unhideWhenUsed/>
    <w:rsid w:val="00235577"/>
    <w:pPr>
      <w:tabs>
        <w:tab w:val="center" w:pos="4419"/>
        <w:tab w:val="right" w:pos="8838"/>
      </w:tabs>
    </w:pPr>
  </w:style>
  <w:style w:type="character" w:customStyle="1" w:styleId="HeaderChar">
    <w:name w:val="Header Char"/>
    <w:basedOn w:val="DefaultParagraphFont"/>
    <w:link w:val="Header"/>
    <w:uiPriority w:val="99"/>
    <w:rsid w:val="00235577"/>
    <w:rPr>
      <w:rFonts w:ascii="Times New Roman" w:eastAsia="Times New Roman" w:hAnsi="Times New Roman" w:cs="Times New Roman"/>
      <w:sz w:val="24"/>
      <w:szCs w:val="24"/>
      <w:lang w:eastAsia="es-CL"/>
    </w:rPr>
  </w:style>
  <w:style w:type="paragraph" w:styleId="Footer">
    <w:name w:val="footer"/>
    <w:basedOn w:val="Normal"/>
    <w:link w:val="FooterChar"/>
    <w:uiPriority w:val="99"/>
    <w:unhideWhenUsed/>
    <w:rsid w:val="00235577"/>
    <w:pPr>
      <w:tabs>
        <w:tab w:val="center" w:pos="4419"/>
        <w:tab w:val="right" w:pos="8838"/>
      </w:tabs>
    </w:pPr>
  </w:style>
  <w:style w:type="character" w:customStyle="1" w:styleId="FooterChar">
    <w:name w:val="Footer Char"/>
    <w:basedOn w:val="DefaultParagraphFont"/>
    <w:link w:val="Footer"/>
    <w:uiPriority w:val="99"/>
    <w:rsid w:val="00235577"/>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6266">
      <w:bodyDiv w:val="1"/>
      <w:marLeft w:val="0"/>
      <w:marRight w:val="0"/>
      <w:marTop w:val="0"/>
      <w:marBottom w:val="0"/>
      <w:divBdr>
        <w:top w:val="none" w:sz="0" w:space="0" w:color="auto"/>
        <w:left w:val="none" w:sz="0" w:space="0" w:color="auto"/>
        <w:bottom w:val="none" w:sz="0" w:space="0" w:color="auto"/>
        <w:right w:val="none" w:sz="0" w:space="0" w:color="auto"/>
      </w:divBdr>
    </w:div>
    <w:div w:id="175535979">
      <w:bodyDiv w:val="1"/>
      <w:marLeft w:val="0"/>
      <w:marRight w:val="0"/>
      <w:marTop w:val="0"/>
      <w:marBottom w:val="0"/>
      <w:divBdr>
        <w:top w:val="none" w:sz="0" w:space="0" w:color="auto"/>
        <w:left w:val="none" w:sz="0" w:space="0" w:color="auto"/>
        <w:bottom w:val="none" w:sz="0" w:space="0" w:color="auto"/>
        <w:right w:val="none" w:sz="0" w:space="0" w:color="auto"/>
      </w:divBdr>
    </w:div>
    <w:div w:id="417168126">
      <w:bodyDiv w:val="1"/>
      <w:marLeft w:val="0"/>
      <w:marRight w:val="0"/>
      <w:marTop w:val="0"/>
      <w:marBottom w:val="0"/>
      <w:divBdr>
        <w:top w:val="none" w:sz="0" w:space="0" w:color="auto"/>
        <w:left w:val="none" w:sz="0" w:space="0" w:color="auto"/>
        <w:bottom w:val="none" w:sz="0" w:space="0" w:color="auto"/>
        <w:right w:val="none" w:sz="0" w:space="0" w:color="auto"/>
      </w:divBdr>
    </w:div>
    <w:div w:id="449937051">
      <w:bodyDiv w:val="1"/>
      <w:marLeft w:val="0"/>
      <w:marRight w:val="0"/>
      <w:marTop w:val="0"/>
      <w:marBottom w:val="0"/>
      <w:divBdr>
        <w:top w:val="none" w:sz="0" w:space="0" w:color="auto"/>
        <w:left w:val="none" w:sz="0" w:space="0" w:color="auto"/>
        <w:bottom w:val="none" w:sz="0" w:space="0" w:color="auto"/>
        <w:right w:val="none" w:sz="0" w:space="0" w:color="auto"/>
      </w:divBdr>
    </w:div>
    <w:div w:id="630282018">
      <w:bodyDiv w:val="1"/>
      <w:marLeft w:val="0"/>
      <w:marRight w:val="0"/>
      <w:marTop w:val="0"/>
      <w:marBottom w:val="0"/>
      <w:divBdr>
        <w:top w:val="none" w:sz="0" w:space="0" w:color="auto"/>
        <w:left w:val="none" w:sz="0" w:space="0" w:color="auto"/>
        <w:bottom w:val="none" w:sz="0" w:space="0" w:color="auto"/>
        <w:right w:val="none" w:sz="0" w:space="0" w:color="auto"/>
      </w:divBdr>
    </w:div>
    <w:div w:id="784231938">
      <w:bodyDiv w:val="1"/>
      <w:marLeft w:val="0"/>
      <w:marRight w:val="0"/>
      <w:marTop w:val="0"/>
      <w:marBottom w:val="0"/>
      <w:divBdr>
        <w:top w:val="none" w:sz="0" w:space="0" w:color="auto"/>
        <w:left w:val="none" w:sz="0" w:space="0" w:color="auto"/>
        <w:bottom w:val="none" w:sz="0" w:space="0" w:color="auto"/>
        <w:right w:val="none" w:sz="0" w:space="0" w:color="auto"/>
      </w:divBdr>
    </w:div>
    <w:div w:id="908267338">
      <w:bodyDiv w:val="1"/>
      <w:marLeft w:val="0"/>
      <w:marRight w:val="0"/>
      <w:marTop w:val="0"/>
      <w:marBottom w:val="0"/>
      <w:divBdr>
        <w:top w:val="none" w:sz="0" w:space="0" w:color="auto"/>
        <w:left w:val="none" w:sz="0" w:space="0" w:color="auto"/>
        <w:bottom w:val="none" w:sz="0" w:space="0" w:color="auto"/>
        <w:right w:val="none" w:sz="0" w:space="0" w:color="auto"/>
      </w:divBdr>
    </w:div>
    <w:div w:id="1231843977">
      <w:bodyDiv w:val="1"/>
      <w:marLeft w:val="0"/>
      <w:marRight w:val="0"/>
      <w:marTop w:val="0"/>
      <w:marBottom w:val="0"/>
      <w:divBdr>
        <w:top w:val="none" w:sz="0" w:space="0" w:color="auto"/>
        <w:left w:val="none" w:sz="0" w:space="0" w:color="auto"/>
        <w:bottom w:val="none" w:sz="0" w:space="0" w:color="auto"/>
        <w:right w:val="none" w:sz="0" w:space="0" w:color="auto"/>
      </w:divBdr>
    </w:div>
    <w:div w:id="1503088235">
      <w:bodyDiv w:val="1"/>
      <w:marLeft w:val="0"/>
      <w:marRight w:val="0"/>
      <w:marTop w:val="0"/>
      <w:marBottom w:val="0"/>
      <w:divBdr>
        <w:top w:val="none" w:sz="0" w:space="0" w:color="auto"/>
        <w:left w:val="none" w:sz="0" w:space="0" w:color="auto"/>
        <w:bottom w:val="none" w:sz="0" w:space="0" w:color="auto"/>
        <w:right w:val="none" w:sz="0" w:space="0" w:color="auto"/>
      </w:divBdr>
    </w:div>
    <w:div w:id="1559903617">
      <w:bodyDiv w:val="1"/>
      <w:marLeft w:val="0"/>
      <w:marRight w:val="0"/>
      <w:marTop w:val="0"/>
      <w:marBottom w:val="0"/>
      <w:divBdr>
        <w:top w:val="none" w:sz="0" w:space="0" w:color="auto"/>
        <w:left w:val="none" w:sz="0" w:space="0" w:color="auto"/>
        <w:bottom w:val="none" w:sz="0" w:space="0" w:color="auto"/>
        <w:right w:val="none" w:sz="0" w:space="0" w:color="auto"/>
      </w:divBdr>
    </w:div>
    <w:div w:id="1642425090">
      <w:bodyDiv w:val="1"/>
      <w:marLeft w:val="0"/>
      <w:marRight w:val="0"/>
      <w:marTop w:val="0"/>
      <w:marBottom w:val="0"/>
      <w:divBdr>
        <w:top w:val="none" w:sz="0" w:space="0" w:color="auto"/>
        <w:left w:val="none" w:sz="0" w:space="0" w:color="auto"/>
        <w:bottom w:val="none" w:sz="0" w:space="0" w:color="auto"/>
        <w:right w:val="none" w:sz="0" w:space="0" w:color="auto"/>
      </w:divBdr>
    </w:div>
    <w:div w:id="1758790863">
      <w:bodyDiv w:val="1"/>
      <w:marLeft w:val="0"/>
      <w:marRight w:val="0"/>
      <w:marTop w:val="0"/>
      <w:marBottom w:val="0"/>
      <w:divBdr>
        <w:top w:val="none" w:sz="0" w:space="0" w:color="auto"/>
        <w:left w:val="none" w:sz="0" w:space="0" w:color="auto"/>
        <w:bottom w:val="none" w:sz="0" w:space="0" w:color="auto"/>
        <w:right w:val="none" w:sz="0" w:space="0" w:color="auto"/>
      </w:divBdr>
    </w:div>
    <w:div w:id="2003239149">
      <w:bodyDiv w:val="1"/>
      <w:marLeft w:val="0"/>
      <w:marRight w:val="0"/>
      <w:marTop w:val="0"/>
      <w:marBottom w:val="0"/>
      <w:divBdr>
        <w:top w:val="none" w:sz="0" w:space="0" w:color="auto"/>
        <w:left w:val="none" w:sz="0" w:space="0" w:color="auto"/>
        <w:bottom w:val="none" w:sz="0" w:space="0" w:color="auto"/>
        <w:right w:val="none" w:sz="0" w:space="0" w:color="auto"/>
      </w:divBdr>
    </w:div>
    <w:div w:id="20364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0C44-E419-41DD-AA57-0524EE3B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2984</Words>
  <Characters>14596</Characters>
  <Application>Microsoft Office Word</Application>
  <DocSecurity>0</DocSecurity>
  <Lines>384</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PricewaterhouseCoopers</Company>
  <LinksUpToDate>false</LinksUpToDate>
  <CharactersWithSpaces>17406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Yeomans</cp:lastModifiedBy>
  <cp:revision>19</cp:revision>
  <cp:lastPrinted>2015-09-09T13:55:00Z</cp:lastPrinted>
  <dcterms:created xsi:type="dcterms:W3CDTF">2017-04-05T15:55:00Z</dcterms:created>
  <dcterms:modified xsi:type="dcterms:W3CDTF">2017-04-05T19:48:00Z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