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3C7" w:rsidRDefault="005A7043">
      <w:pPr>
        <w:rPr>
          <w:b/>
        </w:rPr>
      </w:pPr>
      <w:bookmarkStart w:id="0" w:name="_GoBack"/>
      <w:bookmarkEnd w:id="0"/>
      <w:r>
        <w:rPr>
          <w:b/>
        </w:rPr>
        <w:t>3. Tipo de Cambio Real</w:t>
      </w:r>
    </w:p>
    <w:p w:rsidR="005A7043" w:rsidRDefault="005A7043" w:rsidP="005A7043">
      <w:pPr>
        <w:ind w:firstLine="708"/>
        <w:jc w:val="both"/>
        <w:rPr>
          <w:rFonts w:eastAsiaTheme="minorEastAsia"/>
        </w:rPr>
      </w:pPr>
      <w:r>
        <w:rPr>
          <w:b/>
        </w:rPr>
        <w:t xml:space="preserve">a) </w:t>
      </w:r>
      <w:r>
        <w:t xml:space="preserve">Buscamos datos del índice Big Mac para el año 2011 y de canastas de precios del ICP para el mismo año y construimos los valores de tipo de cambio real a partir de la identidad </w:t>
      </w:r>
      <m:oMath>
        <m:r>
          <w:rPr>
            <w:rFonts w:ascii="Cambria Math" w:hAnsi="Cambria Math"/>
          </w:rPr>
          <m:t>e=S*</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m:t>
                </m:r>
              </m:sup>
            </m:sSup>
          </m:num>
          <m:den>
            <m:r>
              <w:rPr>
                <w:rFonts w:ascii="Cambria Math" w:hAnsi="Cambria Math"/>
              </w:rPr>
              <m:t>P</m:t>
            </m:r>
          </m:den>
        </m:f>
      </m:oMath>
      <w:r>
        <w:rPr>
          <w:rFonts w:eastAsiaTheme="minorEastAsia"/>
        </w:rPr>
        <w:t>. En el Excel adjunto se encuentran los datos y se ajusta la muestra para tener datos en ambos índices para cada país.</w:t>
      </w:r>
    </w:p>
    <w:p w:rsidR="005A7043" w:rsidRPr="005A7043" w:rsidRDefault="005A7043" w:rsidP="005A7043">
      <w:pPr>
        <w:ind w:firstLine="708"/>
        <w:jc w:val="both"/>
        <w:rPr>
          <w:rFonts w:eastAsiaTheme="minorEastAsia"/>
        </w:rPr>
      </w:pPr>
      <w:r>
        <w:rPr>
          <w:noProof/>
        </w:rPr>
        <w:drawing>
          <wp:anchor distT="0" distB="0" distL="114300" distR="114300" simplePos="0" relativeHeight="251658240" behindDoc="1" locked="0" layoutInCell="1" allowOverlap="1">
            <wp:simplePos x="0" y="0"/>
            <wp:positionH relativeFrom="column">
              <wp:posOffset>24765</wp:posOffset>
            </wp:positionH>
            <wp:positionV relativeFrom="paragraph">
              <wp:posOffset>441960</wp:posOffset>
            </wp:positionV>
            <wp:extent cx="5612130" cy="4055110"/>
            <wp:effectExtent l="0" t="0" r="7620" b="2540"/>
            <wp:wrapTight wrapText="bothSides">
              <wp:wrapPolygon edited="0">
                <wp:start x="0" y="0"/>
                <wp:lineTo x="0" y="21512"/>
                <wp:lineTo x="21556" y="21512"/>
                <wp:lineTo x="21556" y="0"/>
                <wp:lineTo x="0" y="0"/>
              </wp:wrapPolygon>
            </wp:wrapTight>
            <wp:docPr id="1" name="Gráfico 1">
              <a:extLst xmlns:a="http://schemas.openxmlformats.org/drawingml/2006/main">
                <a:ext uri="{FF2B5EF4-FFF2-40B4-BE49-F238E27FC236}">
                  <a16:creationId xmlns:a16="http://schemas.microsoft.com/office/drawing/2014/main" id="{4FB7B952-FD27-4EFF-BB4D-349C6BF4D3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r>
        <w:rPr>
          <w:rFonts w:eastAsiaTheme="minorEastAsia"/>
          <w:b/>
        </w:rPr>
        <w:t xml:space="preserve">b) </w:t>
      </w:r>
      <w:r>
        <w:rPr>
          <w:rFonts w:eastAsiaTheme="minorEastAsia"/>
        </w:rPr>
        <w:t>Computamos las dos series de tipo de cambio real y las graficamos. Aquella obtenida por el índice Big Mac se encuentra en el eje horizontal y la derivada del índice ICP en el vertical.</w:t>
      </w:r>
    </w:p>
    <w:p w:rsidR="005A7043" w:rsidRDefault="005A7043" w:rsidP="0033778F">
      <w:pPr>
        <w:ind w:firstLine="708"/>
        <w:jc w:val="both"/>
      </w:pPr>
      <w:r>
        <w:rPr>
          <w:b/>
        </w:rPr>
        <w:t xml:space="preserve">c) </w:t>
      </w:r>
      <w:r w:rsidR="0033778F">
        <w:t xml:space="preserve">Podemos ver que existe una gran dispersión en la muestra, donde la mayoría de los números </w:t>
      </w:r>
      <w:r w:rsidR="009A0F2C">
        <w:t xml:space="preserve">se alejan del 100, lo que se traduce en que no se cumple LOOP en la evidencia, por lo tanto, tampoco lo hace PPP al ser una generalización de la última. Las desviaciones entre </w:t>
      </w:r>
      <w:r w:rsidR="00FA4E4A">
        <w:t>100 y los tipos de cambio sugieren sub/sobre valorizaciones de las canastas o del Big Mac en dichos países. Aquellos países donde las canastas o Big Mac se encuentran subvaloradas entonces para que se cumpla PPP debieran de sufrir una apreciación del tipo de cambio real, y así viceversa, si están sobrevaloradas y quisiéramos llegar a que la paridad se cumpla, el tipo de cambio real de dichos países debiera depreciarse.</w:t>
      </w:r>
    </w:p>
    <w:p w:rsidR="0033778F" w:rsidRDefault="0033778F" w:rsidP="0033778F">
      <w:pPr>
        <w:ind w:firstLine="708"/>
        <w:jc w:val="both"/>
        <w:rPr>
          <w:rFonts w:eastAsiaTheme="minorEastAsia"/>
        </w:rPr>
      </w:pPr>
      <w:r>
        <w:rPr>
          <w:b/>
        </w:rPr>
        <w:t>d)</w:t>
      </w:r>
      <w:r>
        <w:t xml:space="preserve"> Al estimar la regresión OLS, encontramos la ecuación </w:t>
      </w:r>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ICP</m:t>
            </m:r>
          </m:sup>
        </m:sSubSup>
        <m:r>
          <w:rPr>
            <w:rFonts w:ascii="Cambria Math" w:hAnsi="Cambria Math"/>
          </w:rPr>
          <m:t>=4,4602+0,855*</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BG</m:t>
            </m:r>
          </m:sup>
        </m:sSubSup>
      </m:oMath>
      <w:r>
        <w:rPr>
          <w:rFonts w:eastAsiaTheme="minorEastAsia"/>
        </w:rPr>
        <w:t xml:space="preserve">, es decir el </w:t>
      </w:r>
      <m:oMath>
        <m:r>
          <w:rPr>
            <w:rFonts w:ascii="Cambria Math" w:eastAsiaTheme="minorEastAsia" w:hAnsi="Cambria Math"/>
          </w:rPr>
          <m:t>β</m:t>
        </m:r>
      </m:oMath>
      <w:r>
        <w:rPr>
          <w:rFonts w:eastAsiaTheme="minorEastAsia"/>
        </w:rPr>
        <w:t xml:space="preserve"> de la regresión es de 0,855 lo que se traduce en que un cambio en el tipo de cambio real derivado del índice de Big Mac genera un cambio en dicha magnitud sobre el tipo de cambio real estimado a través del índice de precios de una canasta, reportado por el ICP. Así también, se estimó un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=67%</m:t>
        </m:r>
      </m:oMath>
      <w:r>
        <w:rPr>
          <w:rFonts w:eastAsiaTheme="minorEastAsia"/>
        </w:rPr>
        <w:t xml:space="preserve"> lo que no representa un alto grado de explicación a partir de los valores que el índice </w:t>
      </w:r>
      <w:r>
        <w:rPr>
          <w:rFonts w:eastAsiaTheme="minorEastAsia"/>
        </w:rPr>
        <w:lastRenderedPageBreak/>
        <w:t>del Big Mac reporta</w:t>
      </w:r>
      <w:r w:rsidR="009A0F2C">
        <w:rPr>
          <w:rFonts w:eastAsiaTheme="minorEastAsia"/>
        </w:rPr>
        <w:t xml:space="preserve"> al derivarlo en una expresión del tipo de cambio real en comparación a aquel obtenido por la canasta del ICP. La diferencia se puede explicar en que el índice Big Mac solo recoge efectos de un solo producto de la economía, en cambio, el ICP lo hace para una canasta de bienes lo que recogería mayores efectos en su expresión del tipo de cambio real que aquellas que el de Big Mac.</w:t>
      </w:r>
    </w:p>
    <w:p w:rsidR="009A0F2C" w:rsidRPr="009A0F2C" w:rsidRDefault="009A0F2C" w:rsidP="0033778F">
      <w:pPr>
        <w:ind w:firstLine="708"/>
        <w:jc w:val="both"/>
        <w:rPr>
          <w:rFonts w:eastAsiaTheme="minorEastAsia"/>
        </w:rPr>
      </w:pPr>
      <w:r>
        <w:rPr>
          <w:rFonts w:eastAsiaTheme="minorEastAsia"/>
          <w:b/>
        </w:rPr>
        <w:t xml:space="preserve">e) </w:t>
      </w:r>
      <w:r>
        <w:rPr>
          <w:rFonts w:eastAsiaTheme="minorEastAsia"/>
        </w:rPr>
        <w:t>Se adjuntan los datos del tipo de cambio real para cada índice, utilizados para la construcción del gráfico reportado anteriormente.</w:t>
      </w:r>
    </w:p>
    <w:tbl>
      <w:tblPr>
        <w:tblW w:w="3772" w:type="dxa"/>
        <w:jc w:val="center"/>
        <w:tblCellMar>
          <w:left w:w="70" w:type="dxa"/>
          <w:right w:w="70" w:type="dxa"/>
        </w:tblCellMar>
        <w:tblLook w:val="04A0" w:firstRow="1" w:lastRow="0" w:firstColumn="1" w:lastColumn="0" w:noHBand="0" w:noVBand="1"/>
      </w:tblPr>
      <w:tblGrid>
        <w:gridCol w:w="1372"/>
        <w:gridCol w:w="1200"/>
        <w:gridCol w:w="1200"/>
      </w:tblGrid>
      <w:tr w:rsidR="009A0F2C" w:rsidRPr="009A0F2C" w:rsidTr="009A0F2C">
        <w:trPr>
          <w:trHeight w:val="300"/>
          <w:jc w:val="center"/>
        </w:trPr>
        <w:tc>
          <w:tcPr>
            <w:tcW w:w="1372" w:type="dxa"/>
            <w:tcBorders>
              <w:top w:val="single" w:sz="4" w:space="0" w:color="auto"/>
              <w:left w:val="single" w:sz="4" w:space="0" w:color="auto"/>
              <w:bottom w:val="single" w:sz="4" w:space="0" w:color="auto"/>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Country</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e BG</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e ICP</w:t>
            </w:r>
          </w:p>
        </w:tc>
      </w:tr>
      <w:tr w:rsidR="009A0F2C" w:rsidRPr="009A0F2C" w:rsidTr="009A0F2C">
        <w:trPr>
          <w:trHeight w:val="300"/>
          <w:jc w:val="center"/>
        </w:trPr>
        <w:tc>
          <w:tcPr>
            <w:tcW w:w="1372" w:type="dxa"/>
            <w:tcBorders>
              <w:top w:val="single" w:sz="4" w:space="0" w:color="auto"/>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Australia</w:t>
            </w:r>
          </w:p>
        </w:tc>
        <w:tc>
          <w:tcPr>
            <w:tcW w:w="1200" w:type="dxa"/>
            <w:tcBorders>
              <w:top w:val="single" w:sz="4" w:space="0" w:color="auto"/>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122</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157</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Austria</w:t>
            </w:r>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109</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118</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Belgium</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132</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122</w:t>
            </w:r>
          </w:p>
        </w:tc>
      </w:tr>
      <w:tr w:rsidR="009A0F2C" w:rsidRPr="009A0F2C" w:rsidTr="009A0F2C">
        <w:trPr>
          <w:trHeight w:val="51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Brazil</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152</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99</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Britain</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96</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121</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Canada</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123</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130</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Chile</w:t>
            </w:r>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98</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81</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China</w:t>
            </w:r>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56</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57</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Colombia</w:t>
            </w:r>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117</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65</w:t>
            </w:r>
          </w:p>
        </w:tc>
      </w:tr>
      <w:tr w:rsidR="009A0F2C" w:rsidRPr="009A0F2C" w:rsidTr="009A0F2C">
        <w:trPr>
          <w:trHeight w:val="51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Costa Rica</w:t>
            </w:r>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100</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68</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Czech</w:t>
            </w:r>
            <w:proofErr w:type="spellEnd"/>
            <w:r w:rsidRPr="009A0F2C">
              <w:rPr>
                <w:rFonts w:ascii="Calibri" w:eastAsia="Times New Roman" w:hAnsi="Calibri" w:cs="Times New Roman"/>
                <w:color w:val="000000"/>
                <w:lang w:eastAsia="es-CL"/>
              </w:rPr>
              <w:t xml:space="preserve"> </w:t>
            </w:r>
            <w:proofErr w:type="spellStart"/>
            <w:r w:rsidRPr="009A0F2C">
              <w:rPr>
                <w:rFonts w:ascii="Calibri" w:eastAsia="Times New Roman" w:hAnsi="Calibri" w:cs="Times New Roman"/>
                <w:color w:val="000000"/>
                <w:lang w:eastAsia="es-CL"/>
              </w:rPr>
              <w:t>Republic</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100</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84</w:t>
            </w:r>
          </w:p>
        </w:tc>
      </w:tr>
      <w:tr w:rsidR="009A0F2C" w:rsidRPr="009A0F2C" w:rsidTr="009A0F2C">
        <w:trPr>
          <w:trHeight w:val="555"/>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Denmark</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135</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159</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Egypt</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58</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30</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Estonia</w:t>
            </w:r>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78</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85</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Finland</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132</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136</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France</w:t>
            </w:r>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123</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122</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Germany</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120</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114</w:t>
            </w:r>
          </w:p>
        </w:tc>
      </w:tr>
      <w:tr w:rsidR="009A0F2C" w:rsidRPr="009A0F2C" w:rsidTr="009A0F2C">
        <w:trPr>
          <w:trHeight w:val="51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Greece</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115</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105</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Hong Kong</w:t>
            </w:r>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48</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74</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Hungary</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99</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69</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India</w:t>
            </w:r>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47</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32</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Indonesia</w:t>
            </w:r>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65</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47</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Ireland</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134</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132</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Israel</w:t>
            </w:r>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115</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119</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Italy</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123</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115</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Japan</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100</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145</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Latvia</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80</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79</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Lithuania</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75</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72</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Malaysia</w:t>
            </w:r>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60</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52</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Mexico</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67</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72</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lastRenderedPageBreak/>
              <w:t>Netherlands</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115</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121</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 xml:space="preserve">New </w:t>
            </w:r>
            <w:proofErr w:type="spellStart"/>
            <w:r w:rsidRPr="009A0F2C">
              <w:rPr>
                <w:rFonts w:ascii="Calibri" w:eastAsia="Times New Roman" w:hAnsi="Calibri" w:cs="Times New Roman"/>
                <w:color w:val="000000"/>
                <w:lang w:eastAsia="es-CL"/>
              </w:rPr>
              <w:t>Zealand</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109</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126</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Norway</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204</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175</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Pakistan</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58</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29</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Peru</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90</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57</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Philippines</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68</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44</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Poland</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76</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65</w:t>
            </w:r>
          </w:p>
        </w:tc>
      </w:tr>
      <w:tr w:rsidR="009A0F2C" w:rsidRPr="009A0F2C" w:rsidTr="009A0F2C">
        <w:trPr>
          <w:trHeight w:val="555"/>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Portugal</w:t>
            </w:r>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102</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98</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Russia</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66</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57</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Saudi</w:t>
            </w:r>
            <w:proofErr w:type="spellEnd"/>
            <w:r w:rsidRPr="009A0F2C">
              <w:rPr>
                <w:rFonts w:ascii="Calibri" w:eastAsia="Times New Roman" w:hAnsi="Calibri" w:cs="Times New Roman"/>
                <w:color w:val="000000"/>
                <w:lang w:eastAsia="es-CL"/>
              </w:rPr>
              <w:t xml:space="preserve"> Arabia</w:t>
            </w:r>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66</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48</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Singapore</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90</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93</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 xml:space="preserve">South </w:t>
            </w:r>
            <w:proofErr w:type="spellStart"/>
            <w:r w:rsidRPr="009A0F2C">
              <w:rPr>
                <w:rFonts w:ascii="Calibri" w:eastAsia="Times New Roman" w:hAnsi="Calibri" w:cs="Times New Roman"/>
                <w:color w:val="000000"/>
                <w:lang w:eastAsia="es-CL"/>
              </w:rPr>
              <w:t>Africa</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71</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70</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 xml:space="preserve">South </w:t>
            </w:r>
            <w:proofErr w:type="spellStart"/>
            <w:r w:rsidRPr="009A0F2C">
              <w:rPr>
                <w:rFonts w:ascii="Calibri" w:eastAsia="Times New Roman" w:hAnsi="Calibri" w:cs="Times New Roman"/>
                <w:color w:val="000000"/>
                <w:lang w:eastAsia="es-CL"/>
              </w:rPr>
              <w:t>Korea</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86</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82</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Spain</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123</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108</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Sri Lanka</w:t>
            </w:r>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63</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38</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Sweden</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188</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140</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Switzerland</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198</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182</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Taiwan</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64</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54</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Thailand</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58</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42</w:t>
            </w:r>
          </w:p>
        </w:tc>
      </w:tr>
      <w:tr w:rsidR="009A0F2C" w:rsidRPr="009A0F2C" w:rsidTr="009A0F2C">
        <w:trPr>
          <w:trHeight w:val="51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Turkey</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93</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69</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UAE</w:t>
            </w:r>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80</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74</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Ukraine</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51</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42</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proofErr w:type="spellStart"/>
            <w:r w:rsidRPr="009A0F2C">
              <w:rPr>
                <w:rFonts w:ascii="Calibri" w:eastAsia="Times New Roman" w:hAnsi="Calibri" w:cs="Times New Roman"/>
                <w:color w:val="000000"/>
                <w:lang w:eastAsia="es-CL"/>
              </w:rPr>
              <w:t>United</w:t>
            </w:r>
            <w:proofErr w:type="spellEnd"/>
            <w:r w:rsidRPr="009A0F2C">
              <w:rPr>
                <w:rFonts w:ascii="Calibri" w:eastAsia="Times New Roman" w:hAnsi="Calibri" w:cs="Times New Roman"/>
                <w:color w:val="000000"/>
                <w:lang w:eastAsia="es-CL"/>
              </w:rPr>
              <w:t xml:space="preserve"> </w:t>
            </w:r>
            <w:proofErr w:type="spellStart"/>
            <w:r w:rsidRPr="009A0F2C">
              <w:rPr>
                <w:rFonts w:ascii="Calibri" w:eastAsia="Times New Roman" w:hAnsi="Calibri" w:cs="Times New Roman"/>
                <w:color w:val="000000"/>
                <w:lang w:eastAsia="es-CL"/>
              </w:rPr>
              <w:t>States</w:t>
            </w:r>
            <w:proofErr w:type="spellEnd"/>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100</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100</w:t>
            </w:r>
          </w:p>
        </w:tc>
      </w:tr>
      <w:tr w:rsidR="009A0F2C" w:rsidRPr="009A0F2C" w:rsidTr="009A0F2C">
        <w:trPr>
          <w:trHeight w:val="300"/>
          <w:jc w:val="center"/>
        </w:trPr>
        <w:tc>
          <w:tcPr>
            <w:tcW w:w="1372" w:type="dxa"/>
            <w:tcBorders>
              <w:top w:val="nil"/>
              <w:left w:val="single" w:sz="4" w:space="0" w:color="auto"/>
              <w:bottom w:val="nil"/>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Uruguay</w:t>
            </w:r>
          </w:p>
        </w:tc>
        <w:tc>
          <w:tcPr>
            <w:tcW w:w="1200" w:type="dxa"/>
            <w:tcBorders>
              <w:top w:val="nil"/>
              <w:left w:val="single" w:sz="4" w:space="0" w:color="auto"/>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120</w:t>
            </w:r>
          </w:p>
        </w:tc>
        <w:tc>
          <w:tcPr>
            <w:tcW w:w="1200" w:type="dxa"/>
            <w:tcBorders>
              <w:top w:val="nil"/>
              <w:left w:val="nil"/>
              <w:bottom w:val="nil"/>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85</w:t>
            </w:r>
          </w:p>
        </w:tc>
      </w:tr>
      <w:tr w:rsidR="009A0F2C" w:rsidRPr="009A0F2C" w:rsidTr="009A0F2C">
        <w:trPr>
          <w:trHeight w:val="300"/>
          <w:jc w:val="center"/>
        </w:trPr>
        <w:tc>
          <w:tcPr>
            <w:tcW w:w="1372" w:type="dxa"/>
            <w:tcBorders>
              <w:top w:val="nil"/>
              <w:left w:val="single" w:sz="4" w:space="0" w:color="auto"/>
              <w:bottom w:val="single" w:sz="4" w:space="0" w:color="auto"/>
              <w:right w:val="nil"/>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Venezuela</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160</w:t>
            </w:r>
          </w:p>
        </w:tc>
        <w:tc>
          <w:tcPr>
            <w:tcW w:w="1200" w:type="dxa"/>
            <w:tcBorders>
              <w:top w:val="nil"/>
              <w:left w:val="nil"/>
              <w:bottom w:val="single" w:sz="4" w:space="0" w:color="auto"/>
              <w:right w:val="single" w:sz="4" w:space="0" w:color="auto"/>
            </w:tcBorders>
            <w:shd w:val="clear" w:color="auto" w:fill="auto"/>
            <w:noWrap/>
            <w:vAlign w:val="bottom"/>
            <w:hideMark/>
          </w:tcPr>
          <w:p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68</w:t>
            </w:r>
          </w:p>
        </w:tc>
      </w:tr>
    </w:tbl>
    <w:p w:rsidR="009A0F2C" w:rsidRDefault="009A0F2C" w:rsidP="009A0F2C">
      <w:pPr>
        <w:rPr>
          <w:b/>
        </w:rPr>
      </w:pPr>
    </w:p>
    <w:p w:rsidR="009A0F2C" w:rsidRDefault="009A0F2C" w:rsidP="009A0F2C">
      <w:pPr>
        <w:rPr>
          <w:b/>
        </w:rPr>
      </w:pPr>
      <w:r>
        <w:rPr>
          <w:b/>
        </w:rPr>
        <w:t>4. Evidencia Empírica de la PPP</w:t>
      </w:r>
    </w:p>
    <w:p w:rsidR="00FA4E4A" w:rsidRDefault="00824C6F" w:rsidP="00824C6F">
      <w:pPr>
        <w:ind w:firstLine="708"/>
        <w:jc w:val="both"/>
      </w:pPr>
      <w:r>
        <w:rPr>
          <w:b/>
        </w:rPr>
        <w:t xml:space="preserve">a) </w:t>
      </w:r>
      <w:r>
        <w:t>Descargamos datos para la tasa de inflación a precios de consumidor, en porcentaje, y datos para el tipo de cambio de cada país con respecto al Dólar Estadounidense, en el período 1975-2005. Los datos fueron descargados del Banco Mundial. Se escogieron los países a examinar aquellos que tenían datos para toda la muestra relevante. Para los países europeos, en el tipo de cambio se utilizó el Euro como moneda desde el año 1999 en adelante. (Si faltaban datos entre medio también fueron excluidos en el análisis)</w:t>
      </w:r>
    </w:p>
    <w:p w:rsidR="00824C6F" w:rsidRDefault="00824C6F" w:rsidP="00824C6F">
      <w:pPr>
        <w:ind w:firstLine="708"/>
        <w:jc w:val="both"/>
      </w:pPr>
      <w:r>
        <w:rPr>
          <w:b/>
        </w:rPr>
        <w:t xml:space="preserve">b) y c) </w:t>
      </w:r>
      <w:r>
        <w:t xml:space="preserve">Se encuentran las series para el diferencial entre la inflación de cada país y Estados Unidos, y la tasa de depreciación del tipo de cambio nominal de cada país. En Excel adjunto se encuentran los datos para cada país de la muestra. </w:t>
      </w:r>
    </w:p>
    <w:p w:rsidR="00824C6F" w:rsidRDefault="00824C6F" w:rsidP="00824C6F">
      <w:pPr>
        <w:ind w:firstLine="708"/>
        <w:jc w:val="both"/>
        <w:rPr>
          <w:b/>
        </w:rPr>
      </w:pPr>
    </w:p>
    <w:p w:rsidR="00824C6F" w:rsidRDefault="00824C6F" w:rsidP="00824C6F">
      <w:pPr>
        <w:ind w:firstLine="708"/>
        <w:jc w:val="both"/>
        <w:rPr>
          <w:b/>
        </w:rPr>
      </w:pPr>
    </w:p>
    <w:p w:rsidR="00824C6F" w:rsidRDefault="00824C6F" w:rsidP="00824C6F">
      <w:pPr>
        <w:ind w:firstLine="708"/>
        <w:jc w:val="both"/>
        <w:rPr>
          <w:b/>
        </w:rPr>
      </w:pPr>
    </w:p>
    <w:p w:rsidR="00824C6F" w:rsidRDefault="00824C6F" w:rsidP="00824C6F">
      <w:pPr>
        <w:ind w:firstLine="708"/>
        <w:jc w:val="both"/>
      </w:pPr>
      <w:r>
        <w:rPr>
          <w:b/>
        </w:rPr>
        <w:lastRenderedPageBreak/>
        <w:t xml:space="preserve">d) </w:t>
      </w:r>
      <w:r>
        <w:t>Se computador los promedios para cada país de ambas series, diferencial inflación y tasa de depreciación del tipo de cambio. Se filtro la muestra a aquellos países que tenían información de ambas series, inflación y depreciación.</w:t>
      </w:r>
    </w:p>
    <w:tbl>
      <w:tblPr>
        <w:tblW w:w="5540" w:type="dxa"/>
        <w:jc w:val="center"/>
        <w:tblCellMar>
          <w:left w:w="70" w:type="dxa"/>
          <w:right w:w="70" w:type="dxa"/>
        </w:tblCellMar>
        <w:tblLook w:val="04A0" w:firstRow="1" w:lastRow="0" w:firstColumn="1" w:lastColumn="0" w:noHBand="0" w:noVBand="1"/>
      </w:tblPr>
      <w:tblGrid>
        <w:gridCol w:w="3020"/>
        <w:gridCol w:w="1200"/>
        <w:gridCol w:w="1320"/>
      </w:tblGrid>
      <w:tr w:rsidR="00824C6F" w:rsidRPr="00824C6F" w:rsidTr="00824C6F">
        <w:trPr>
          <w:trHeight w:val="300"/>
          <w:jc w:val="center"/>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Muestra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Inflación</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Depreciación</w:t>
            </w:r>
          </w:p>
        </w:tc>
      </w:tr>
      <w:tr w:rsidR="00824C6F" w:rsidRPr="00824C6F" w:rsidTr="00824C6F">
        <w:trPr>
          <w:trHeight w:val="300"/>
          <w:jc w:val="center"/>
        </w:trPr>
        <w:tc>
          <w:tcPr>
            <w:tcW w:w="3020" w:type="dxa"/>
            <w:tcBorders>
              <w:top w:val="single" w:sz="4" w:space="0" w:color="auto"/>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Algeria</w:t>
            </w:r>
            <w:proofErr w:type="spellEnd"/>
          </w:p>
        </w:tc>
        <w:tc>
          <w:tcPr>
            <w:tcW w:w="1200" w:type="dxa"/>
            <w:tcBorders>
              <w:top w:val="single" w:sz="4" w:space="0" w:color="auto"/>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6,71187779</w:t>
            </w:r>
          </w:p>
        </w:tc>
        <w:tc>
          <w:tcPr>
            <w:tcW w:w="1320" w:type="dxa"/>
            <w:tcBorders>
              <w:top w:val="single" w:sz="4" w:space="0" w:color="auto"/>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0,118044451</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Argentina</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297,851212</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3,174406982</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Australia</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1,44343255</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0,022052925</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Austria</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-1,2381463</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0,041427603</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 xml:space="preserve">Bahamas, </w:t>
            </w:r>
            <w:proofErr w:type="spellStart"/>
            <w:r w:rsidRPr="00824C6F">
              <w:rPr>
                <w:rFonts w:ascii="Calibri" w:eastAsia="Times New Roman" w:hAnsi="Calibri" w:cs="Times New Roman"/>
                <w:color w:val="000000"/>
                <w:lang w:eastAsia="es-CL"/>
              </w:rPr>
              <w:t>The</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0,21013193</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3,33333E-11</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Bahrain</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1,06546155</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0,001671736</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Barbados</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0,84874473</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0,000311505</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Belgium</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0,65767216</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0,031108283</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Bolivia</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447,250545</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5,372673918</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Botswana</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5,79534275</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0,073435029</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Burkina Faso</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1,03478685</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0,046130477</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Burundi</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7,0649754</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0,095451505</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Cameroon</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2,36975561</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0,046130477</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Canada</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0,1248714</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0,006996458</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Chile</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30,9100452</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0,203014144</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Colombia</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15,3152041</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0,161013945</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 xml:space="preserve">Congo, </w:t>
            </w:r>
            <w:proofErr w:type="spellStart"/>
            <w:r w:rsidRPr="00824C6F">
              <w:rPr>
                <w:rFonts w:ascii="Calibri" w:eastAsia="Times New Roman" w:hAnsi="Calibri" w:cs="Times New Roman"/>
                <w:color w:val="000000"/>
                <w:lang w:eastAsia="es-CL"/>
              </w:rPr>
              <w:t>Dem</w:t>
            </w:r>
            <w:proofErr w:type="spellEnd"/>
            <w:r w:rsidRPr="00824C6F">
              <w:rPr>
                <w:rFonts w:ascii="Calibri" w:eastAsia="Times New Roman" w:hAnsi="Calibri" w:cs="Times New Roman"/>
                <w:color w:val="000000"/>
                <w:lang w:eastAsia="es-CL"/>
              </w:rPr>
              <w:t>. Rep.</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1140,99365</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19,47621336</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Costa Rica</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13,0544713</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0,166059525</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 xml:space="preserve">Cote </w:t>
            </w:r>
            <w:proofErr w:type="spellStart"/>
            <w:r w:rsidRPr="00824C6F">
              <w:rPr>
                <w:rFonts w:ascii="Calibri" w:eastAsia="Times New Roman" w:hAnsi="Calibri" w:cs="Times New Roman"/>
                <w:color w:val="000000"/>
                <w:lang w:eastAsia="es-CL"/>
              </w:rPr>
              <w:t>d'Ivoire</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2,71410145</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0,046130477</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Cyprus</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0,17136825</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0,011459037</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Denmark</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0,3353077</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0,007535038</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Dominican</w:t>
            </w:r>
            <w:proofErr w:type="spellEnd"/>
            <w:r w:rsidRPr="00824C6F">
              <w:rPr>
                <w:rFonts w:ascii="Calibri" w:eastAsia="Times New Roman" w:hAnsi="Calibri" w:cs="Times New Roman"/>
                <w:color w:val="000000"/>
                <w:lang w:eastAsia="es-CL"/>
              </w:rPr>
              <w:t xml:space="preserve"> </w:t>
            </w:r>
            <w:proofErr w:type="spellStart"/>
            <w:r w:rsidRPr="00824C6F">
              <w:rPr>
                <w:rFonts w:ascii="Calibri" w:eastAsia="Times New Roman" w:hAnsi="Calibri" w:cs="Times New Roman"/>
                <w:color w:val="000000"/>
                <w:lang w:eastAsia="es-CL"/>
              </w:rPr>
              <w:t>Republic</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12,0111605</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0,16568314</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Egypt</w:t>
            </w:r>
            <w:proofErr w:type="spellEnd"/>
            <w:r w:rsidRPr="00824C6F">
              <w:rPr>
                <w:rFonts w:ascii="Calibri" w:eastAsia="Times New Roman" w:hAnsi="Calibri" w:cs="Times New Roman"/>
                <w:color w:val="000000"/>
                <w:lang w:eastAsia="es-CL"/>
              </w:rPr>
              <w:t xml:space="preserve">, </w:t>
            </w:r>
            <w:proofErr w:type="spellStart"/>
            <w:r w:rsidRPr="00824C6F">
              <w:rPr>
                <w:rFonts w:ascii="Calibri" w:eastAsia="Times New Roman" w:hAnsi="Calibri" w:cs="Times New Roman"/>
                <w:color w:val="000000"/>
                <w:lang w:eastAsia="es-CL"/>
              </w:rPr>
              <w:t>Arab</w:t>
            </w:r>
            <w:proofErr w:type="spellEnd"/>
            <w:r w:rsidRPr="00824C6F">
              <w:rPr>
                <w:rFonts w:ascii="Calibri" w:eastAsia="Times New Roman" w:hAnsi="Calibri" w:cs="Times New Roman"/>
                <w:color w:val="000000"/>
                <w:lang w:eastAsia="es-CL"/>
              </w:rPr>
              <w:t xml:space="preserve"> Rep.</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7,05335142</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0,117064027</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El Salvador</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7,54183896</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0,053361595</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Ethiopia</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2,88600716</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0,057021863</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Fiji</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1,14054252</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0,027920636</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Finland</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0,71288614</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0,014397576</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France</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0,40931868</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0,016037021</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Gabon</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1,6183271</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0,046130477</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 xml:space="preserve">Gambia, </w:t>
            </w:r>
            <w:proofErr w:type="spellStart"/>
            <w:r w:rsidRPr="00824C6F">
              <w:rPr>
                <w:rFonts w:ascii="Calibri" w:eastAsia="Times New Roman" w:hAnsi="Calibri" w:cs="Times New Roman"/>
                <w:color w:val="000000"/>
                <w:lang w:eastAsia="es-CL"/>
              </w:rPr>
              <w:t>The</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6,69028806</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0,10817252</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Ghana</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34,6474576</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0,438119641</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Greece</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8,21485726</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0,045833099</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Guatemala</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7,28676318</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0,082747753</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Haiti</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9,47203205</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0,081442111</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Honduras</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7,16071329</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0,090406064</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Hungary</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7,58655417</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0,057249488</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Iceland</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16,7891137</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0,155244786</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India</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2,61022969</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0,059537537</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lastRenderedPageBreak/>
              <w:t>Indonesia</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7,24201479</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0,154483744</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Iran</w:t>
            </w:r>
            <w:proofErr w:type="spellEnd"/>
            <w:r w:rsidRPr="00824C6F">
              <w:rPr>
                <w:rFonts w:ascii="Calibri" w:eastAsia="Times New Roman" w:hAnsi="Calibri" w:cs="Times New Roman"/>
                <w:color w:val="000000"/>
                <w:lang w:eastAsia="es-CL"/>
              </w:rPr>
              <w:t xml:space="preserve">, </w:t>
            </w:r>
            <w:proofErr w:type="spellStart"/>
            <w:r w:rsidRPr="00824C6F">
              <w:rPr>
                <w:rFonts w:ascii="Calibri" w:eastAsia="Times New Roman" w:hAnsi="Calibri" w:cs="Times New Roman"/>
                <w:color w:val="000000"/>
                <w:lang w:eastAsia="es-CL"/>
              </w:rPr>
              <w:t>Islamic</w:t>
            </w:r>
            <w:proofErr w:type="spellEnd"/>
            <w:r w:rsidRPr="00824C6F">
              <w:rPr>
                <w:rFonts w:ascii="Calibri" w:eastAsia="Times New Roman" w:hAnsi="Calibri" w:cs="Times New Roman"/>
                <w:color w:val="000000"/>
                <w:lang w:eastAsia="es-CL"/>
              </w:rPr>
              <w:t xml:space="preserve"> Rep.</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14,5728077</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0,731178208</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Ireland</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2,29345467</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0,0269827</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Israel</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48,7339536</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0,501713689</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Italy</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3,34188409</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0,002057659</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Jamaica</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14,7069343</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0,176443262</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Japan</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2,26334161</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0,026930589</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Jordan</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1,64552301</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0,031357684</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Kenya</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8,71185331</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0,090305708</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Korea</w:t>
            </w:r>
            <w:proofErr w:type="spellEnd"/>
            <w:r w:rsidRPr="00824C6F">
              <w:rPr>
                <w:rFonts w:ascii="Calibri" w:eastAsia="Times New Roman" w:hAnsi="Calibri" w:cs="Times New Roman"/>
                <w:color w:val="000000"/>
                <w:lang w:eastAsia="es-CL"/>
              </w:rPr>
              <w:t>, Rep.</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3,28849658</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0,031444786</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Kuwait</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0,81108148</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0,000467091</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Libya</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0,79842031</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0,063477688</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Luxembourg</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0,73639411</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0,031108283</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Madagascar</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10,3128529</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0,151575915</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Malaysia</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-1,2299925</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0,018125937</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Malta</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0,99382907</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0,000376871</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Mauritius</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4,3613</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0,057972589</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Mexico</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28,4612038</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0,310187587</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Morocco</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1,10863256</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0,031126596</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Myanmar</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13,1866142</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0,001678231</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Nepal</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3,60168896</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0,066611884</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Netherlands</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1,28679595</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0,024680145</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 xml:space="preserve">New </w:t>
            </w:r>
            <w:proofErr w:type="spellStart"/>
            <w:r w:rsidRPr="00824C6F">
              <w:rPr>
                <w:rFonts w:ascii="Calibri" w:eastAsia="Times New Roman" w:hAnsi="Calibri" w:cs="Times New Roman"/>
                <w:color w:val="000000"/>
                <w:lang w:eastAsia="es-CL"/>
              </w:rPr>
              <w:t>Zealand</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2,71769748</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0,023885401</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Nicaragua</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885,529967</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92,07253062</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Niger</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0,83085856</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0,046130477</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Nigeria</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18,2498157</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0,277883792</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Norway</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0,66466601</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0,010510752</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Pakistan</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3,57086134</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0,063305893</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Panama</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-2,1371162</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3,33333E-11</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Papua</w:t>
            </w:r>
            <w:proofErr w:type="spellEnd"/>
            <w:r w:rsidRPr="00824C6F">
              <w:rPr>
                <w:rFonts w:ascii="Calibri" w:eastAsia="Times New Roman" w:hAnsi="Calibri" w:cs="Times New Roman"/>
                <w:color w:val="000000"/>
                <w:lang w:eastAsia="es-CL"/>
              </w:rPr>
              <w:t xml:space="preserve"> New Guinea</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3,17656212</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0,053995209</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Paraguay</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10,8235981</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0,156876704</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Peru</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418,820373</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3,645457889</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Philippines</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5,90401535</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0,076206961</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Poland</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40,9421926</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0,596422586</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Portugal</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7,2452918</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0,037471214</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Samoa</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3,65388284</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0,054129846</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Saudi</w:t>
            </w:r>
            <w:proofErr w:type="spellEnd"/>
            <w:r w:rsidRPr="00824C6F">
              <w:rPr>
                <w:rFonts w:ascii="Calibri" w:eastAsia="Times New Roman" w:hAnsi="Calibri" w:cs="Times New Roman"/>
                <w:color w:val="000000"/>
                <w:lang w:eastAsia="es-CL"/>
              </w:rPr>
              <w:t xml:space="preserve"> Arabia</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1,66543924</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0,002171411</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Senegal</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1,19460703</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0,046130477</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Seychelles</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0,39188827</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0,000968198</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Sierra Leone</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34,070112</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0,382306899</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Singapore</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2,49260012</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0,010870851</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 xml:space="preserve">Solomon </w:t>
            </w:r>
            <w:proofErr w:type="spellStart"/>
            <w:r w:rsidRPr="00824C6F">
              <w:rPr>
                <w:rFonts w:ascii="Calibri" w:eastAsia="Times New Roman" w:hAnsi="Calibri" w:cs="Times New Roman"/>
                <w:color w:val="000000"/>
                <w:lang w:eastAsia="es-CL"/>
              </w:rPr>
              <w:t>Islands</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5,67978237</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0,082034643</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 xml:space="preserve">South </w:t>
            </w:r>
            <w:proofErr w:type="spellStart"/>
            <w:r w:rsidRPr="00824C6F">
              <w:rPr>
                <w:rFonts w:ascii="Calibri" w:eastAsia="Times New Roman" w:hAnsi="Calibri" w:cs="Times New Roman"/>
                <w:color w:val="000000"/>
                <w:lang w:eastAsia="es-CL"/>
              </w:rPr>
              <w:t>Africa</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6,22296083</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0,084667228</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lastRenderedPageBreak/>
              <w:t>Spain</w:t>
            </w:r>
            <w:proofErr w:type="spellEnd"/>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3,76774408</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0,001636577</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Sri Lanka</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6,00971092</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0,098881794</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St. Lucia</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0,64434919</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0,007922186</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val="en-AU" w:eastAsia="es-CL"/>
              </w:rPr>
            </w:pPr>
            <w:r w:rsidRPr="00824C6F">
              <w:rPr>
                <w:rFonts w:ascii="Calibri" w:eastAsia="Times New Roman" w:hAnsi="Calibri" w:cs="Times New Roman"/>
                <w:color w:val="000000"/>
                <w:lang w:val="en-AU" w:eastAsia="es-CL"/>
              </w:rPr>
              <w:t>St. Vincent and the Grenadines</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0,21495268</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0,007922186</w:t>
            </w:r>
          </w:p>
        </w:tc>
      </w:tr>
      <w:tr w:rsidR="00824C6F" w:rsidRPr="00824C6F"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Sudan</w:t>
            </w:r>
          </w:p>
        </w:tc>
        <w:tc>
          <w:tcPr>
            <w:tcW w:w="120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37,526577</w:t>
            </w:r>
          </w:p>
        </w:tc>
        <w:tc>
          <w:tcPr>
            <w:tcW w:w="1320" w:type="dxa"/>
            <w:tcBorders>
              <w:top w:val="nil"/>
              <w:left w:val="nil"/>
              <w:bottom w:val="nil"/>
              <w:right w:val="single" w:sz="4" w:space="0" w:color="auto"/>
            </w:tcBorders>
            <w:shd w:val="clear" w:color="auto" w:fill="auto"/>
            <w:noWrap/>
            <w:vAlign w:val="bottom"/>
            <w:hideMark/>
          </w:tcPr>
          <w:p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0,701779434</w:t>
            </w:r>
          </w:p>
        </w:tc>
      </w:tr>
      <w:tr w:rsidR="00443F52" w:rsidRPr="00824C6F" w:rsidTr="00443F52">
        <w:trPr>
          <w:trHeight w:val="300"/>
          <w:jc w:val="center"/>
        </w:trPr>
        <w:tc>
          <w:tcPr>
            <w:tcW w:w="3020" w:type="dxa"/>
            <w:tcBorders>
              <w:top w:val="nil"/>
              <w:left w:val="single" w:sz="4" w:space="0" w:color="auto"/>
              <w:bottom w:val="nil"/>
              <w:right w:val="single" w:sz="4" w:space="0" w:color="auto"/>
            </w:tcBorders>
            <w:shd w:val="clear" w:color="auto" w:fill="auto"/>
            <w:noWrap/>
            <w:vAlign w:val="bottom"/>
          </w:tcPr>
          <w:p w:rsidR="00443F52" w:rsidRPr="00824C6F" w:rsidRDefault="00443F52" w:rsidP="00443F52">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Suriname</w:t>
            </w:r>
            <w:proofErr w:type="spellEnd"/>
          </w:p>
        </w:tc>
        <w:tc>
          <w:tcPr>
            <w:tcW w:w="1200" w:type="dxa"/>
            <w:tcBorders>
              <w:top w:val="nil"/>
              <w:left w:val="nil"/>
              <w:bottom w:val="nil"/>
              <w:right w:val="single" w:sz="4" w:space="0" w:color="auto"/>
            </w:tcBorders>
            <w:shd w:val="clear" w:color="auto" w:fill="auto"/>
            <w:noWrap/>
            <w:vAlign w:val="bottom"/>
          </w:tcPr>
          <w:p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37,3804631</w:t>
            </w:r>
          </w:p>
        </w:tc>
        <w:tc>
          <w:tcPr>
            <w:tcW w:w="1320" w:type="dxa"/>
            <w:tcBorders>
              <w:top w:val="nil"/>
              <w:left w:val="nil"/>
              <w:bottom w:val="nil"/>
              <w:right w:val="single" w:sz="4" w:space="0" w:color="auto"/>
            </w:tcBorders>
            <w:shd w:val="clear" w:color="auto" w:fill="auto"/>
            <w:noWrap/>
            <w:vAlign w:val="bottom"/>
          </w:tcPr>
          <w:p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4,235694986</w:t>
            </w:r>
          </w:p>
        </w:tc>
      </w:tr>
      <w:tr w:rsidR="00443F52" w:rsidRPr="00824C6F" w:rsidTr="00443F52">
        <w:trPr>
          <w:trHeight w:val="300"/>
          <w:jc w:val="center"/>
        </w:trPr>
        <w:tc>
          <w:tcPr>
            <w:tcW w:w="3020" w:type="dxa"/>
            <w:tcBorders>
              <w:top w:val="nil"/>
              <w:left w:val="single" w:sz="4" w:space="0" w:color="auto"/>
              <w:bottom w:val="nil"/>
              <w:right w:val="single" w:sz="4" w:space="0" w:color="auto"/>
            </w:tcBorders>
            <w:shd w:val="clear" w:color="auto" w:fill="auto"/>
            <w:noWrap/>
            <w:vAlign w:val="bottom"/>
          </w:tcPr>
          <w:p w:rsidR="00443F52" w:rsidRPr="00824C6F" w:rsidRDefault="00443F52" w:rsidP="00443F52">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Swaziland</w:t>
            </w:r>
            <w:proofErr w:type="spellEnd"/>
          </w:p>
        </w:tc>
        <w:tc>
          <w:tcPr>
            <w:tcW w:w="1200" w:type="dxa"/>
            <w:tcBorders>
              <w:top w:val="nil"/>
              <w:left w:val="nil"/>
              <w:bottom w:val="nil"/>
              <w:right w:val="single" w:sz="4" w:space="0" w:color="auto"/>
            </w:tcBorders>
            <w:shd w:val="clear" w:color="auto" w:fill="auto"/>
            <w:noWrap/>
            <w:vAlign w:val="bottom"/>
          </w:tcPr>
          <w:p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6,87335946</w:t>
            </w:r>
          </w:p>
        </w:tc>
        <w:tc>
          <w:tcPr>
            <w:tcW w:w="1320" w:type="dxa"/>
            <w:tcBorders>
              <w:top w:val="nil"/>
              <w:left w:val="nil"/>
              <w:bottom w:val="nil"/>
              <w:right w:val="single" w:sz="4" w:space="0" w:color="auto"/>
            </w:tcBorders>
            <w:shd w:val="clear" w:color="auto" w:fill="auto"/>
            <w:noWrap/>
            <w:vAlign w:val="bottom"/>
          </w:tcPr>
          <w:p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0,084630473</w:t>
            </w:r>
          </w:p>
        </w:tc>
      </w:tr>
      <w:tr w:rsidR="00443F52" w:rsidRPr="00824C6F" w:rsidTr="00443F52">
        <w:trPr>
          <w:trHeight w:val="300"/>
          <w:jc w:val="center"/>
        </w:trPr>
        <w:tc>
          <w:tcPr>
            <w:tcW w:w="3020" w:type="dxa"/>
            <w:tcBorders>
              <w:top w:val="nil"/>
              <w:left w:val="single" w:sz="4" w:space="0" w:color="auto"/>
              <w:bottom w:val="nil"/>
              <w:right w:val="single" w:sz="4" w:space="0" w:color="auto"/>
            </w:tcBorders>
            <w:shd w:val="clear" w:color="auto" w:fill="auto"/>
            <w:noWrap/>
            <w:vAlign w:val="bottom"/>
          </w:tcPr>
          <w:p w:rsidR="00443F52" w:rsidRPr="00824C6F" w:rsidRDefault="00443F52" w:rsidP="00443F52">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Sweden</w:t>
            </w:r>
            <w:proofErr w:type="spellEnd"/>
          </w:p>
        </w:tc>
        <w:tc>
          <w:tcPr>
            <w:tcW w:w="1200" w:type="dxa"/>
            <w:tcBorders>
              <w:top w:val="nil"/>
              <w:left w:val="nil"/>
              <w:bottom w:val="nil"/>
              <w:right w:val="single" w:sz="4" w:space="0" w:color="auto"/>
            </w:tcBorders>
            <w:shd w:val="clear" w:color="auto" w:fill="auto"/>
            <w:noWrap/>
            <w:vAlign w:val="bottom"/>
          </w:tcPr>
          <w:p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0,87845003</w:t>
            </w:r>
          </w:p>
        </w:tc>
        <w:tc>
          <w:tcPr>
            <w:tcW w:w="1320" w:type="dxa"/>
            <w:tcBorders>
              <w:top w:val="nil"/>
              <w:left w:val="nil"/>
              <w:bottom w:val="nil"/>
              <w:right w:val="single" w:sz="4" w:space="0" w:color="auto"/>
            </w:tcBorders>
            <w:shd w:val="clear" w:color="auto" w:fill="auto"/>
            <w:noWrap/>
            <w:vAlign w:val="bottom"/>
          </w:tcPr>
          <w:p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0,026161356</w:t>
            </w:r>
          </w:p>
        </w:tc>
      </w:tr>
      <w:tr w:rsidR="00443F52" w:rsidRPr="00824C6F" w:rsidTr="00443F52">
        <w:trPr>
          <w:trHeight w:val="300"/>
          <w:jc w:val="center"/>
        </w:trPr>
        <w:tc>
          <w:tcPr>
            <w:tcW w:w="3020" w:type="dxa"/>
            <w:tcBorders>
              <w:top w:val="nil"/>
              <w:left w:val="single" w:sz="4" w:space="0" w:color="auto"/>
              <w:bottom w:val="nil"/>
              <w:right w:val="single" w:sz="4" w:space="0" w:color="auto"/>
            </w:tcBorders>
            <w:shd w:val="clear" w:color="auto" w:fill="auto"/>
            <w:noWrap/>
            <w:vAlign w:val="bottom"/>
          </w:tcPr>
          <w:p w:rsidR="00443F52" w:rsidRPr="00824C6F" w:rsidRDefault="00443F52" w:rsidP="00443F52">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Switzerland</w:t>
            </w:r>
            <w:proofErr w:type="spellEnd"/>
          </w:p>
        </w:tc>
        <w:tc>
          <w:tcPr>
            <w:tcW w:w="1200" w:type="dxa"/>
            <w:tcBorders>
              <w:top w:val="nil"/>
              <w:left w:val="nil"/>
              <w:bottom w:val="nil"/>
              <w:right w:val="single" w:sz="4" w:space="0" w:color="auto"/>
            </w:tcBorders>
            <w:shd w:val="clear" w:color="auto" w:fill="auto"/>
            <w:noWrap/>
            <w:vAlign w:val="bottom"/>
          </w:tcPr>
          <w:p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2,11720681</w:t>
            </w:r>
          </w:p>
        </w:tc>
        <w:tc>
          <w:tcPr>
            <w:tcW w:w="1320" w:type="dxa"/>
            <w:tcBorders>
              <w:top w:val="nil"/>
              <w:left w:val="nil"/>
              <w:bottom w:val="nil"/>
              <w:right w:val="single" w:sz="4" w:space="0" w:color="auto"/>
            </w:tcBorders>
            <w:shd w:val="clear" w:color="auto" w:fill="auto"/>
            <w:noWrap/>
            <w:vAlign w:val="bottom"/>
          </w:tcPr>
          <w:p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0,017662537</w:t>
            </w:r>
          </w:p>
        </w:tc>
      </w:tr>
      <w:tr w:rsidR="00443F52" w:rsidRPr="00824C6F" w:rsidTr="00443F52">
        <w:trPr>
          <w:trHeight w:val="300"/>
          <w:jc w:val="center"/>
        </w:trPr>
        <w:tc>
          <w:tcPr>
            <w:tcW w:w="3020" w:type="dxa"/>
            <w:tcBorders>
              <w:top w:val="nil"/>
              <w:left w:val="single" w:sz="4" w:space="0" w:color="auto"/>
              <w:bottom w:val="nil"/>
              <w:right w:val="single" w:sz="4" w:space="0" w:color="auto"/>
            </w:tcBorders>
            <w:shd w:val="clear" w:color="auto" w:fill="auto"/>
            <w:noWrap/>
            <w:vAlign w:val="bottom"/>
          </w:tcPr>
          <w:p w:rsidR="00443F52" w:rsidRPr="00824C6F" w:rsidRDefault="00443F52" w:rsidP="00443F52">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Syrian</w:t>
            </w:r>
            <w:proofErr w:type="spellEnd"/>
            <w:r w:rsidRPr="00824C6F">
              <w:rPr>
                <w:rFonts w:ascii="Calibri" w:eastAsia="Times New Roman" w:hAnsi="Calibri" w:cs="Times New Roman"/>
                <w:color w:val="000000"/>
                <w:lang w:eastAsia="es-CL"/>
              </w:rPr>
              <w:t xml:space="preserve"> </w:t>
            </w:r>
            <w:proofErr w:type="spellStart"/>
            <w:r w:rsidRPr="00824C6F">
              <w:rPr>
                <w:rFonts w:ascii="Calibri" w:eastAsia="Times New Roman" w:hAnsi="Calibri" w:cs="Times New Roman"/>
                <w:color w:val="000000"/>
                <w:lang w:eastAsia="es-CL"/>
              </w:rPr>
              <w:t>Arab</w:t>
            </w:r>
            <w:proofErr w:type="spellEnd"/>
            <w:r w:rsidRPr="00824C6F">
              <w:rPr>
                <w:rFonts w:ascii="Calibri" w:eastAsia="Times New Roman" w:hAnsi="Calibri" w:cs="Times New Roman"/>
                <w:color w:val="000000"/>
                <w:lang w:eastAsia="es-CL"/>
              </w:rPr>
              <w:t xml:space="preserve"> </w:t>
            </w:r>
            <w:proofErr w:type="spellStart"/>
            <w:r w:rsidRPr="00824C6F">
              <w:rPr>
                <w:rFonts w:ascii="Calibri" w:eastAsia="Times New Roman" w:hAnsi="Calibri" w:cs="Times New Roman"/>
                <w:color w:val="000000"/>
                <w:lang w:eastAsia="es-CL"/>
              </w:rPr>
              <w:t>Republic</w:t>
            </w:r>
            <w:proofErr w:type="spellEnd"/>
          </w:p>
        </w:tc>
        <w:tc>
          <w:tcPr>
            <w:tcW w:w="1200" w:type="dxa"/>
            <w:tcBorders>
              <w:top w:val="nil"/>
              <w:left w:val="nil"/>
              <w:bottom w:val="nil"/>
              <w:right w:val="single" w:sz="4" w:space="0" w:color="auto"/>
            </w:tcBorders>
            <w:shd w:val="clear" w:color="auto" w:fill="auto"/>
            <w:noWrap/>
            <w:vAlign w:val="bottom"/>
          </w:tcPr>
          <w:p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7,30497914</w:t>
            </w:r>
          </w:p>
        </w:tc>
        <w:tc>
          <w:tcPr>
            <w:tcW w:w="1320" w:type="dxa"/>
            <w:tcBorders>
              <w:top w:val="nil"/>
              <w:left w:val="nil"/>
              <w:bottom w:val="nil"/>
              <w:right w:val="single" w:sz="4" w:space="0" w:color="auto"/>
            </w:tcBorders>
            <w:shd w:val="clear" w:color="auto" w:fill="auto"/>
            <w:noWrap/>
            <w:vAlign w:val="bottom"/>
          </w:tcPr>
          <w:p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0,063996958</w:t>
            </w:r>
          </w:p>
        </w:tc>
      </w:tr>
      <w:tr w:rsidR="00443F52" w:rsidRPr="00824C6F" w:rsidTr="00443F52">
        <w:trPr>
          <w:trHeight w:val="300"/>
          <w:jc w:val="center"/>
        </w:trPr>
        <w:tc>
          <w:tcPr>
            <w:tcW w:w="3020" w:type="dxa"/>
            <w:tcBorders>
              <w:top w:val="nil"/>
              <w:left w:val="single" w:sz="4" w:space="0" w:color="auto"/>
              <w:bottom w:val="nil"/>
              <w:right w:val="single" w:sz="4" w:space="0" w:color="auto"/>
            </w:tcBorders>
            <w:shd w:val="clear" w:color="auto" w:fill="auto"/>
            <w:noWrap/>
            <w:vAlign w:val="bottom"/>
          </w:tcPr>
          <w:p w:rsidR="00443F52" w:rsidRPr="00824C6F" w:rsidRDefault="00443F52" w:rsidP="00443F52">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Tanzania</w:t>
            </w:r>
          </w:p>
        </w:tc>
        <w:tc>
          <w:tcPr>
            <w:tcW w:w="1200" w:type="dxa"/>
            <w:tcBorders>
              <w:top w:val="nil"/>
              <w:left w:val="nil"/>
              <w:bottom w:val="nil"/>
              <w:right w:val="single" w:sz="4" w:space="0" w:color="auto"/>
            </w:tcBorders>
            <w:shd w:val="clear" w:color="auto" w:fill="auto"/>
            <w:noWrap/>
            <w:vAlign w:val="bottom"/>
          </w:tcPr>
          <w:p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15,6503242</w:t>
            </w:r>
          </w:p>
        </w:tc>
        <w:tc>
          <w:tcPr>
            <w:tcW w:w="1320" w:type="dxa"/>
            <w:tcBorders>
              <w:top w:val="nil"/>
              <w:left w:val="nil"/>
              <w:bottom w:val="nil"/>
              <w:right w:val="single" w:sz="4" w:space="0" w:color="auto"/>
            </w:tcBorders>
            <w:shd w:val="clear" w:color="auto" w:fill="auto"/>
            <w:noWrap/>
            <w:vAlign w:val="bottom"/>
          </w:tcPr>
          <w:p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0,202817986</w:t>
            </w:r>
          </w:p>
        </w:tc>
      </w:tr>
      <w:tr w:rsidR="00443F52" w:rsidRPr="00824C6F" w:rsidTr="00443F52">
        <w:trPr>
          <w:trHeight w:val="300"/>
          <w:jc w:val="center"/>
        </w:trPr>
        <w:tc>
          <w:tcPr>
            <w:tcW w:w="3020" w:type="dxa"/>
            <w:tcBorders>
              <w:top w:val="nil"/>
              <w:left w:val="single" w:sz="4" w:space="0" w:color="auto"/>
              <w:bottom w:val="nil"/>
              <w:right w:val="single" w:sz="4" w:space="0" w:color="auto"/>
            </w:tcBorders>
            <w:shd w:val="clear" w:color="auto" w:fill="auto"/>
            <w:noWrap/>
            <w:vAlign w:val="bottom"/>
          </w:tcPr>
          <w:p w:rsidR="00443F52" w:rsidRPr="00824C6F" w:rsidRDefault="00443F52" w:rsidP="00443F52">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Thailand</w:t>
            </w:r>
            <w:proofErr w:type="spellEnd"/>
          </w:p>
        </w:tc>
        <w:tc>
          <w:tcPr>
            <w:tcW w:w="1200" w:type="dxa"/>
            <w:tcBorders>
              <w:top w:val="nil"/>
              <w:left w:val="nil"/>
              <w:bottom w:val="nil"/>
              <w:right w:val="single" w:sz="4" w:space="0" w:color="auto"/>
            </w:tcBorders>
            <w:shd w:val="clear" w:color="auto" w:fill="auto"/>
            <w:noWrap/>
            <w:vAlign w:val="bottom"/>
          </w:tcPr>
          <w:p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0,44365032</w:t>
            </w:r>
          </w:p>
        </w:tc>
        <w:tc>
          <w:tcPr>
            <w:tcW w:w="1320" w:type="dxa"/>
            <w:tcBorders>
              <w:top w:val="nil"/>
              <w:left w:val="nil"/>
              <w:bottom w:val="nil"/>
              <w:right w:val="single" w:sz="4" w:space="0" w:color="auto"/>
            </w:tcBorders>
            <w:shd w:val="clear" w:color="auto" w:fill="auto"/>
            <w:noWrap/>
            <w:vAlign w:val="bottom"/>
          </w:tcPr>
          <w:p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0,02580942</w:t>
            </w:r>
          </w:p>
        </w:tc>
      </w:tr>
      <w:tr w:rsidR="00443F52" w:rsidRPr="00824C6F" w:rsidTr="00443F52">
        <w:trPr>
          <w:trHeight w:val="300"/>
          <w:jc w:val="center"/>
        </w:trPr>
        <w:tc>
          <w:tcPr>
            <w:tcW w:w="3020" w:type="dxa"/>
            <w:tcBorders>
              <w:top w:val="nil"/>
              <w:left w:val="single" w:sz="4" w:space="0" w:color="auto"/>
              <w:bottom w:val="nil"/>
              <w:right w:val="single" w:sz="4" w:space="0" w:color="auto"/>
            </w:tcBorders>
            <w:shd w:val="clear" w:color="auto" w:fill="auto"/>
            <w:noWrap/>
            <w:vAlign w:val="bottom"/>
          </w:tcPr>
          <w:p w:rsidR="00443F52" w:rsidRPr="00824C6F" w:rsidRDefault="00443F52" w:rsidP="00443F52">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Togo</w:t>
            </w:r>
          </w:p>
        </w:tc>
        <w:tc>
          <w:tcPr>
            <w:tcW w:w="1200" w:type="dxa"/>
            <w:tcBorders>
              <w:top w:val="nil"/>
              <w:left w:val="nil"/>
              <w:bottom w:val="nil"/>
              <w:right w:val="single" w:sz="4" w:space="0" w:color="auto"/>
            </w:tcBorders>
            <w:shd w:val="clear" w:color="auto" w:fill="auto"/>
            <w:noWrap/>
            <w:vAlign w:val="bottom"/>
          </w:tcPr>
          <w:p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1,76882432</w:t>
            </w:r>
          </w:p>
        </w:tc>
        <w:tc>
          <w:tcPr>
            <w:tcW w:w="1320" w:type="dxa"/>
            <w:tcBorders>
              <w:top w:val="nil"/>
              <w:left w:val="nil"/>
              <w:bottom w:val="nil"/>
              <w:right w:val="single" w:sz="4" w:space="0" w:color="auto"/>
            </w:tcBorders>
            <w:shd w:val="clear" w:color="auto" w:fill="auto"/>
            <w:noWrap/>
            <w:vAlign w:val="bottom"/>
          </w:tcPr>
          <w:p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0,046130477</w:t>
            </w:r>
          </w:p>
        </w:tc>
      </w:tr>
      <w:tr w:rsidR="00443F52" w:rsidRPr="00824C6F" w:rsidTr="00443F52">
        <w:trPr>
          <w:trHeight w:val="300"/>
          <w:jc w:val="center"/>
        </w:trPr>
        <w:tc>
          <w:tcPr>
            <w:tcW w:w="3020" w:type="dxa"/>
            <w:tcBorders>
              <w:top w:val="nil"/>
              <w:left w:val="single" w:sz="4" w:space="0" w:color="auto"/>
              <w:bottom w:val="nil"/>
              <w:right w:val="single" w:sz="4" w:space="0" w:color="auto"/>
            </w:tcBorders>
            <w:shd w:val="clear" w:color="auto" w:fill="auto"/>
            <w:noWrap/>
            <w:vAlign w:val="bottom"/>
          </w:tcPr>
          <w:p w:rsidR="00443F52" w:rsidRPr="00824C6F" w:rsidRDefault="00443F52" w:rsidP="00443F52">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Trinidad and Tobago</w:t>
            </w:r>
          </w:p>
        </w:tc>
        <w:tc>
          <w:tcPr>
            <w:tcW w:w="1200" w:type="dxa"/>
            <w:tcBorders>
              <w:top w:val="nil"/>
              <w:left w:val="nil"/>
              <w:bottom w:val="nil"/>
              <w:right w:val="single" w:sz="4" w:space="0" w:color="auto"/>
            </w:tcBorders>
            <w:shd w:val="clear" w:color="auto" w:fill="auto"/>
            <w:noWrap/>
            <w:vAlign w:val="bottom"/>
          </w:tcPr>
          <w:p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4,17775626</w:t>
            </w:r>
          </w:p>
        </w:tc>
        <w:tc>
          <w:tcPr>
            <w:tcW w:w="1320" w:type="dxa"/>
            <w:tcBorders>
              <w:top w:val="nil"/>
              <w:left w:val="nil"/>
              <w:bottom w:val="nil"/>
              <w:right w:val="single" w:sz="4" w:space="0" w:color="auto"/>
            </w:tcBorders>
            <w:shd w:val="clear" w:color="auto" w:fill="auto"/>
            <w:noWrap/>
            <w:vAlign w:val="bottom"/>
          </w:tcPr>
          <w:p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0,040004443</w:t>
            </w:r>
          </w:p>
        </w:tc>
      </w:tr>
      <w:tr w:rsidR="00443F52" w:rsidRPr="00824C6F" w:rsidTr="00443F52">
        <w:trPr>
          <w:trHeight w:val="300"/>
          <w:jc w:val="center"/>
        </w:trPr>
        <w:tc>
          <w:tcPr>
            <w:tcW w:w="3020" w:type="dxa"/>
            <w:tcBorders>
              <w:top w:val="nil"/>
              <w:left w:val="single" w:sz="4" w:space="0" w:color="auto"/>
              <w:bottom w:val="nil"/>
              <w:right w:val="single" w:sz="4" w:space="0" w:color="auto"/>
            </w:tcBorders>
            <w:shd w:val="clear" w:color="auto" w:fill="auto"/>
            <w:noWrap/>
            <w:vAlign w:val="bottom"/>
          </w:tcPr>
          <w:p w:rsidR="00443F52" w:rsidRPr="00824C6F" w:rsidRDefault="00443F52" w:rsidP="00443F52">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Turkey</w:t>
            </w:r>
            <w:proofErr w:type="spellEnd"/>
          </w:p>
        </w:tc>
        <w:tc>
          <w:tcPr>
            <w:tcW w:w="1200" w:type="dxa"/>
            <w:tcBorders>
              <w:top w:val="nil"/>
              <w:left w:val="nil"/>
              <w:bottom w:val="nil"/>
              <w:right w:val="single" w:sz="4" w:space="0" w:color="auto"/>
            </w:tcBorders>
            <w:shd w:val="clear" w:color="auto" w:fill="auto"/>
            <w:noWrap/>
            <w:vAlign w:val="bottom"/>
          </w:tcPr>
          <w:p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48,7457556</w:t>
            </w:r>
          </w:p>
        </w:tc>
        <w:tc>
          <w:tcPr>
            <w:tcW w:w="1320" w:type="dxa"/>
            <w:tcBorders>
              <w:top w:val="nil"/>
              <w:left w:val="nil"/>
              <w:bottom w:val="nil"/>
              <w:right w:val="single" w:sz="4" w:space="0" w:color="auto"/>
            </w:tcBorders>
            <w:shd w:val="clear" w:color="auto" w:fill="auto"/>
            <w:noWrap/>
            <w:vAlign w:val="bottom"/>
          </w:tcPr>
          <w:p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0,507905426</w:t>
            </w:r>
          </w:p>
        </w:tc>
      </w:tr>
      <w:tr w:rsidR="00443F52" w:rsidRPr="00824C6F" w:rsidTr="00443F52">
        <w:trPr>
          <w:trHeight w:val="300"/>
          <w:jc w:val="center"/>
        </w:trPr>
        <w:tc>
          <w:tcPr>
            <w:tcW w:w="3020" w:type="dxa"/>
            <w:tcBorders>
              <w:top w:val="nil"/>
              <w:left w:val="single" w:sz="4" w:space="0" w:color="auto"/>
              <w:bottom w:val="nil"/>
              <w:right w:val="single" w:sz="4" w:space="0" w:color="auto"/>
            </w:tcBorders>
            <w:shd w:val="clear" w:color="auto" w:fill="auto"/>
            <w:noWrap/>
            <w:vAlign w:val="bottom"/>
          </w:tcPr>
          <w:p w:rsidR="00443F52" w:rsidRPr="00824C6F" w:rsidRDefault="00443F52" w:rsidP="00443F52">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United</w:t>
            </w:r>
            <w:proofErr w:type="spellEnd"/>
            <w:r w:rsidRPr="00824C6F">
              <w:rPr>
                <w:rFonts w:ascii="Calibri" w:eastAsia="Times New Roman" w:hAnsi="Calibri" w:cs="Times New Roman"/>
                <w:color w:val="000000"/>
                <w:lang w:eastAsia="es-CL"/>
              </w:rPr>
              <w:t xml:space="preserve"> </w:t>
            </w:r>
            <w:proofErr w:type="spellStart"/>
            <w:r w:rsidRPr="00824C6F">
              <w:rPr>
                <w:rFonts w:ascii="Calibri" w:eastAsia="Times New Roman" w:hAnsi="Calibri" w:cs="Times New Roman"/>
                <w:color w:val="000000"/>
                <w:lang w:eastAsia="es-CL"/>
              </w:rPr>
              <w:t>States</w:t>
            </w:r>
            <w:proofErr w:type="spellEnd"/>
          </w:p>
        </w:tc>
        <w:tc>
          <w:tcPr>
            <w:tcW w:w="1200" w:type="dxa"/>
            <w:tcBorders>
              <w:top w:val="nil"/>
              <w:left w:val="nil"/>
              <w:bottom w:val="nil"/>
              <w:right w:val="single" w:sz="4" w:space="0" w:color="auto"/>
            </w:tcBorders>
            <w:shd w:val="clear" w:color="auto" w:fill="auto"/>
            <w:noWrap/>
            <w:vAlign w:val="bottom"/>
          </w:tcPr>
          <w:p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w:t>
            </w:r>
          </w:p>
        </w:tc>
        <w:tc>
          <w:tcPr>
            <w:tcW w:w="1320" w:type="dxa"/>
            <w:tcBorders>
              <w:top w:val="nil"/>
              <w:left w:val="nil"/>
              <w:bottom w:val="nil"/>
              <w:right w:val="single" w:sz="4" w:space="0" w:color="auto"/>
            </w:tcBorders>
            <w:shd w:val="clear" w:color="auto" w:fill="auto"/>
            <w:noWrap/>
            <w:vAlign w:val="bottom"/>
          </w:tcPr>
          <w:p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w:t>
            </w:r>
          </w:p>
        </w:tc>
      </w:tr>
      <w:tr w:rsidR="00443F52" w:rsidRPr="00824C6F" w:rsidTr="00443F52">
        <w:trPr>
          <w:trHeight w:val="300"/>
          <w:jc w:val="center"/>
        </w:trPr>
        <w:tc>
          <w:tcPr>
            <w:tcW w:w="3020" w:type="dxa"/>
            <w:tcBorders>
              <w:top w:val="nil"/>
              <w:left w:val="single" w:sz="4" w:space="0" w:color="auto"/>
              <w:bottom w:val="nil"/>
              <w:right w:val="single" w:sz="4" w:space="0" w:color="auto"/>
            </w:tcBorders>
            <w:shd w:val="clear" w:color="auto" w:fill="auto"/>
            <w:noWrap/>
            <w:vAlign w:val="bottom"/>
          </w:tcPr>
          <w:p w:rsidR="00443F52" w:rsidRPr="00824C6F" w:rsidRDefault="00443F52" w:rsidP="00443F52">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Uruguay</w:t>
            </w:r>
          </w:p>
        </w:tc>
        <w:tc>
          <w:tcPr>
            <w:tcW w:w="1200" w:type="dxa"/>
            <w:tcBorders>
              <w:top w:val="nil"/>
              <w:left w:val="nil"/>
              <w:bottom w:val="nil"/>
              <w:right w:val="single" w:sz="4" w:space="0" w:color="auto"/>
            </w:tcBorders>
            <w:shd w:val="clear" w:color="auto" w:fill="auto"/>
            <w:noWrap/>
            <w:vAlign w:val="bottom"/>
          </w:tcPr>
          <w:p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41,3064904</w:t>
            </w:r>
          </w:p>
        </w:tc>
        <w:tc>
          <w:tcPr>
            <w:tcW w:w="1320" w:type="dxa"/>
            <w:tcBorders>
              <w:top w:val="nil"/>
              <w:left w:val="nil"/>
              <w:bottom w:val="nil"/>
              <w:right w:val="single" w:sz="4" w:space="0" w:color="auto"/>
            </w:tcBorders>
            <w:shd w:val="clear" w:color="auto" w:fill="auto"/>
            <w:noWrap/>
            <w:vAlign w:val="bottom"/>
          </w:tcPr>
          <w:p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0,395995339</w:t>
            </w:r>
          </w:p>
        </w:tc>
      </w:tr>
      <w:tr w:rsidR="00443F52" w:rsidRPr="00824C6F" w:rsidTr="00443F52">
        <w:trPr>
          <w:trHeight w:val="300"/>
          <w:jc w:val="center"/>
        </w:trPr>
        <w:tc>
          <w:tcPr>
            <w:tcW w:w="3020" w:type="dxa"/>
            <w:tcBorders>
              <w:top w:val="nil"/>
              <w:left w:val="single" w:sz="4" w:space="0" w:color="auto"/>
              <w:bottom w:val="nil"/>
              <w:right w:val="single" w:sz="4" w:space="0" w:color="auto"/>
            </w:tcBorders>
            <w:shd w:val="clear" w:color="auto" w:fill="auto"/>
            <w:noWrap/>
            <w:vAlign w:val="bottom"/>
          </w:tcPr>
          <w:p w:rsidR="00443F52" w:rsidRPr="00824C6F" w:rsidRDefault="00443F52" w:rsidP="00443F52">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Venezuela, RB</w:t>
            </w:r>
          </w:p>
        </w:tc>
        <w:tc>
          <w:tcPr>
            <w:tcW w:w="1200" w:type="dxa"/>
            <w:tcBorders>
              <w:top w:val="nil"/>
              <w:left w:val="nil"/>
              <w:bottom w:val="nil"/>
              <w:right w:val="single" w:sz="4" w:space="0" w:color="auto"/>
            </w:tcBorders>
            <w:shd w:val="clear" w:color="auto" w:fill="auto"/>
            <w:noWrap/>
            <w:vAlign w:val="bottom"/>
          </w:tcPr>
          <w:p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23,4743878</w:t>
            </w:r>
          </w:p>
        </w:tc>
        <w:tc>
          <w:tcPr>
            <w:tcW w:w="1320" w:type="dxa"/>
            <w:tcBorders>
              <w:top w:val="nil"/>
              <w:left w:val="nil"/>
              <w:bottom w:val="nil"/>
              <w:right w:val="single" w:sz="4" w:space="0" w:color="auto"/>
            </w:tcBorders>
            <w:shd w:val="clear" w:color="auto" w:fill="auto"/>
            <w:noWrap/>
            <w:vAlign w:val="bottom"/>
          </w:tcPr>
          <w:p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0,269857008</w:t>
            </w:r>
          </w:p>
        </w:tc>
      </w:tr>
      <w:tr w:rsidR="00443F52" w:rsidRPr="00824C6F" w:rsidTr="00443F52">
        <w:trPr>
          <w:trHeight w:val="300"/>
          <w:jc w:val="center"/>
        </w:trPr>
        <w:tc>
          <w:tcPr>
            <w:tcW w:w="3020" w:type="dxa"/>
            <w:tcBorders>
              <w:top w:val="nil"/>
              <w:left w:val="single" w:sz="4" w:space="0" w:color="auto"/>
              <w:bottom w:val="single" w:sz="4" w:space="0" w:color="auto"/>
              <w:right w:val="single" w:sz="4" w:space="0" w:color="auto"/>
            </w:tcBorders>
            <w:shd w:val="clear" w:color="auto" w:fill="auto"/>
            <w:noWrap/>
            <w:vAlign w:val="bottom"/>
          </w:tcPr>
          <w:p w:rsidR="00443F52" w:rsidRPr="00824C6F" w:rsidRDefault="00443F52" w:rsidP="00443F52">
            <w:pPr>
              <w:spacing w:after="0" w:line="240" w:lineRule="auto"/>
              <w:jc w:val="center"/>
              <w:rPr>
                <w:rFonts w:ascii="Calibri" w:eastAsia="Times New Roman" w:hAnsi="Calibri" w:cs="Times New Roman"/>
                <w:color w:val="000000"/>
                <w:lang w:eastAsia="es-CL"/>
              </w:rPr>
            </w:pPr>
            <w:proofErr w:type="spellStart"/>
            <w:r w:rsidRPr="00824C6F">
              <w:rPr>
                <w:rFonts w:ascii="Calibri" w:eastAsia="Times New Roman" w:hAnsi="Calibri" w:cs="Times New Roman"/>
                <w:color w:val="000000"/>
                <w:lang w:eastAsia="es-CL"/>
              </w:rPr>
              <w:t>Zimbabwe</w:t>
            </w:r>
            <w:proofErr w:type="spellEnd"/>
          </w:p>
        </w:tc>
        <w:tc>
          <w:tcPr>
            <w:tcW w:w="1200" w:type="dxa"/>
            <w:tcBorders>
              <w:top w:val="nil"/>
              <w:left w:val="nil"/>
              <w:bottom w:val="single" w:sz="4" w:space="0" w:color="auto"/>
              <w:right w:val="single" w:sz="4" w:space="0" w:color="auto"/>
            </w:tcBorders>
            <w:shd w:val="clear" w:color="auto" w:fill="auto"/>
            <w:noWrap/>
            <w:vAlign w:val="bottom"/>
          </w:tcPr>
          <w:p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52,1204608</w:t>
            </w:r>
          </w:p>
        </w:tc>
        <w:tc>
          <w:tcPr>
            <w:tcW w:w="1320" w:type="dxa"/>
            <w:tcBorders>
              <w:top w:val="nil"/>
              <w:left w:val="nil"/>
              <w:bottom w:val="single" w:sz="4" w:space="0" w:color="auto"/>
              <w:right w:val="single" w:sz="4" w:space="0" w:color="auto"/>
            </w:tcBorders>
            <w:shd w:val="clear" w:color="auto" w:fill="auto"/>
            <w:noWrap/>
            <w:vAlign w:val="bottom"/>
          </w:tcPr>
          <w:p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0,892446629</w:t>
            </w:r>
          </w:p>
        </w:tc>
      </w:tr>
    </w:tbl>
    <w:p w:rsidR="00443F52" w:rsidRDefault="00443F52" w:rsidP="00443F52">
      <w:pPr>
        <w:ind w:firstLine="708"/>
        <w:jc w:val="both"/>
      </w:pPr>
    </w:p>
    <w:p w:rsidR="00443F52" w:rsidRDefault="00443F52" w:rsidP="00443F52">
      <w:pPr>
        <w:ind w:firstLine="708"/>
        <w:jc w:val="both"/>
      </w:pPr>
      <w:r>
        <w:rPr>
          <w:noProof/>
        </w:rPr>
        <w:drawing>
          <wp:anchor distT="0" distB="0" distL="114300" distR="114300" simplePos="0" relativeHeight="251660288" behindDoc="0" locked="0" layoutInCell="1" allowOverlap="1" wp14:anchorId="4CCA9623" wp14:editId="12EE883F">
            <wp:simplePos x="0" y="0"/>
            <wp:positionH relativeFrom="column">
              <wp:posOffset>12065</wp:posOffset>
            </wp:positionH>
            <wp:positionV relativeFrom="page">
              <wp:posOffset>5616575</wp:posOffset>
            </wp:positionV>
            <wp:extent cx="5605145" cy="3966210"/>
            <wp:effectExtent l="0" t="0" r="14605" b="15240"/>
            <wp:wrapSquare wrapText="bothSides"/>
            <wp:docPr id="2" name="Gráfico 2">
              <a:extLst xmlns:a="http://schemas.openxmlformats.org/drawingml/2006/main">
                <a:ext uri="{FF2B5EF4-FFF2-40B4-BE49-F238E27FC236}">
                  <a16:creationId xmlns:a16="http://schemas.microsoft.com/office/drawing/2014/main" id="{0DFCD5C0-2CCC-492A-B9B8-A0F2B9AA1B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t>Se graficaron ambas series en un mismo gráfico, de la forma de que cada país tenga el par ordenado (diferencial inflación, tasa de depreciación) promedio entre 1975 y 2005. Se excluyeron del gráfico aquellos países que se alejaban mucho de la muestra y no permitía analizar correctamente los datos. (Se encuentran destacados en el Excel adjunto)</w:t>
      </w:r>
    </w:p>
    <w:p w:rsidR="00443F52" w:rsidRPr="00E422B7" w:rsidRDefault="00443F52" w:rsidP="00443F52">
      <w:pPr>
        <w:ind w:firstLine="708"/>
        <w:jc w:val="both"/>
      </w:pPr>
      <w:r>
        <w:rPr>
          <w:b/>
        </w:rPr>
        <w:lastRenderedPageBreak/>
        <w:t>f)</w:t>
      </w:r>
      <w:r>
        <w:t xml:space="preserve"> </w:t>
      </w:r>
      <w:r w:rsidR="00982F81">
        <w:t>Vemos que en general los datos se encuentran bastante cerca o sobre la recta lineal del gráfico. Esto quiere deci</w:t>
      </w:r>
      <w:r w:rsidR="00E422B7">
        <w:t xml:space="preserve">r que, en promedio, la diferencia entre la inflación doméstica y la extranjera es similar o igual a la depreciación de la moneda doméstica en respecto a la extranjera. Es decir, aquellos países que tengan una inflación mayor que Estados Unidos debieran de depreciarse respecto al dólar. Lo anterior nos permite concluir que la PPP relativa se cumple de manera aproximada en el largo plazo. Analizando para la muestra, la diferencia entre la inflación y la depreciación es aproximadamente un 7%, por lo que decimos que sólo se cumple de manera aproximada. Anteriormente vimos que la PPP absoluta no se cumplía, pero esta versión más débil de la PPP se cumple en la evidencia en el largo plazo, lo que ha sido demostrado por varias investigaciones hechas anteriormente. Es decir, podemos decir que </w:t>
      </w:r>
      <m:oMath>
        <m:r>
          <w:rPr>
            <w:rFonts w:ascii="Cambria Math" w:hAnsi="Cambria Math"/>
          </w:rPr>
          <m:t>e</m:t>
        </m:r>
        <m:r>
          <w:rPr>
            <w:rFonts w:ascii="Cambria Math" w:hAnsi="Cambria Math"/>
          </w:rPr>
          <m:t>=1</m:t>
        </m:r>
      </m:oMath>
      <w:r w:rsidR="00E422B7">
        <w:rPr>
          <w:rFonts w:eastAsiaTheme="minorEastAsia"/>
        </w:rPr>
        <w:t xml:space="preserve"> </w:t>
      </w:r>
      <w:r w:rsidR="00E422B7">
        <w:t xml:space="preserve">no se cumple, pero que </w:t>
      </w:r>
      <m:oMath>
        <m:r>
          <w:rPr>
            <w:rFonts w:ascii="Cambria Math" w:hAnsi="Cambria Math"/>
          </w:rPr>
          <m:t>∆e=0</m:t>
        </m:r>
      </m:oMath>
      <w:r w:rsidR="00E422B7">
        <w:rPr>
          <w:rFonts w:eastAsiaTheme="minorEastAsia"/>
        </w:rPr>
        <w:t xml:space="preserve"> en promedio sí lo hace.</w:t>
      </w:r>
    </w:p>
    <w:p w:rsidR="00443F52" w:rsidRDefault="00443F52" w:rsidP="00443F52">
      <w:pPr>
        <w:ind w:firstLine="708"/>
        <w:jc w:val="both"/>
      </w:pPr>
    </w:p>
    <w:sectPr w:rsidR="00443F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043"/>
    <w:rsid w:val="00007EDF"/>
    <w:rsid w:val="000246E5"/>
    <w:rsid w:val="00077986"/>
    <w:rsid w:val="0008014E"/>
    <w:rsid w:val="00086CF3"/>
    <w:rsid w:val="000B29AF"/>
    <w:rsid w:val="000C3A19"/>
    <w:rsid w:val="000C6F08"/>
    <w:rsid w:val="000D658E"/>
    <w:rsid w:val="000D6D03"/>
    <w:rsid w:val="000D7150"/>
    <w:rsid w:val="000F2FE3"/>
    <w:rsid w:val="000F34AD"/>
    <w:rsid w:val="000F43C7"/>
    <w:rsid w:val="00117F5F"/>
    <w:rsid w:val="00122065"/>
    <w:rsid w:val="00124ABF"/>
    <w:rsid w:val="00125813"/>
    <w:rsid w:val="00131438"/>
    <w:rsid w:val="00133FEE"/>
    <w:rsid w:val="0013472D"/>
    <w:rsid w:val="00136346"/>
    <w:rsid w:val="00136C55"/>
    <w:rsid w:val="001431EB"/>
    <w:rsid w:val="00145697"/>
    <w:rsid w:val="0015736A"/>
    <w:rsid w:val="00173A92"/>
    <w:rsid w:val="00186886"/>
    <w:rsid w:val="00190985"/>
    <w:rsid w:val="001B7670"/>
    <w:rsid w:val="001C326B"/>
    <w:rsid w:val="001D4511"/>
    <w:rsid w:val="001D4B01"/>
    <w:rsid w:val="001E42EF"/>
    <w:rsid w:val="001E5B12"/>
    <w:rsid w:val="00202B84"/>
    <w:rsid w:val="0023141F"/>
    <w:rsid w:val="00243C65"/>
    <w:rsid w:val="002619B1"/>
    <w:rsid w:val="00285965"/>
    <w:rsid w:val="00297644"/>
    <w:rsid w:val="002B44C5"/>
    <w:rsid w:val="002C217B"/>
    <w:rsid w:val="002C436F"/>
    <w:rsid w:val="002C5C9A"/>
    <w:rsid w:val="002D079C"/>
    <w:rsid w:val="002E5A8B"/>
    <w:rsid w:val="002E7025"/>
    <w:rsid w:val="003027A6"/>
    <w:rsid w:val="00310588"/>
    <w:rsid w:val="003209F4"/>
    <w:rsid w:val="00323EDA"/>
    <w:rsid w:val="003355B0"/>
    <w:rsid w:val="0033778F"/>
    <w:rsid w:val="0034027D"/>
    <w:rsid w:val="00342120"/>
    <w:rsid w:val="003473C3"/>
    <w:rsid w:val="0037384D"/>
    <w:rsid w:val="003825D2"/>
    <w:rsid w:val="00385B8B"/>
    <w:rsid w:val="00394988"/>
    <w:rsid w:val="003A6CB8"/>
    <w:rsid w:val="003B0072"/>
    <w:rsid w:val="003B557C"/>
    <w:rsid w:val="003C561D"/>
    <w:rsid w:val="003C5B98"/>
    <w:rsid w:val="003D0BBC"/>
    <w:rsid w:val="003D12F7"/>
    <w:rsid w:val="003E4EF3"/>
    <w:rsid w:val="00434203"/>
    <w:rsid w:val="00443F52"/>
    <w:rsid w:val="0045506A"/>
    <w:rsid w:val="00467D2F"/>
    <w:rsid w:val="00471BEB"/>
    <w:rsid w:val="00471BF0"/>
    <w:rsid w:val="004832DD"/>
    <w:rsid w:val="00486C76"/>
    <w:rsid w:val="004A06E4"/>
    <w:rsid w:val="004B2917"/>
    <w:rsid w:val="004C7294"/>
    <w:rsid w:val="00501989"/>
    <w:rsid w:val="005029F5"/>
    <w:rsid w:val="005227E1"/>
    <w:rsid w:val="00523406"/>
    <w:rsid w:val="00533D41"/>
    <w:rsid w:val="0054035C"/>
    <w:rsid w:val="00552561"/>
    <w:rsid w:val="0055323D"/>
    <w:rsid w:val="005560F4"/>
    <w:rsid w:val="00564453"/>
    <w:rsid w:val="00570B40"/>
    <w:rsid w:val="00571B9A"/>
    <w:rsid w:val="00576F3D"/>
    <w:rsid w:val="00586836"/>
    <w:rsid w:val="005A7043"/>
    <w:rsid w:val="005A7EE2"/>
    <w:rsid w:val="005B4506"/>
    <w:rsid w:val="005C13DA"/>
    <w:rsid w:val="005C706C"/>
    <w:rsid w:val="005D4D68"/>
    <w:rsid w:val="00612989"/>
    <w:rsid w:val="006475EC"/>
    <w:rsid w:val="00672359"/>
    <w:rsid w:val="00692AC7"/>
    <w:rsid w:val="006B231F"/>
    <w:rsid w:val="006B73BA"/>
    <w:rsid w:val="006C4244"/>
    <w:rsid w:val="006C5969"/>
    <w:rsid w:val="006D18E4"/>
    <w:rsid w:val="006F33A6"/>
    <w:rsid w:val="006F3862"/>
    <w:rsid w:val="006F560D"/>
    <w:rsid w:val="007003D5"/>
    <w:rsid w:val="00711583"/>
    <w:rsid w:val="00716899"/>
    <w:rsid w:val="00725F1F"/>
    <w:rsid w:val="00743001"/>
    <w:rsid w:val="00764F49"/>
    <w:rsid w:val="00767782"/>
    <w:rsid w:val="00772B94"/>
    <w:rsid w:val="00772F69"/>
    <w:rsid w:val="00781EB7"/>
    <w:rsid w:val="007876AA"/>
    <w:rsid w:val="00791A3F"/>
    <w:rsid w:val="00793209"/>
    <w:rsid w:val="007942EF"/>
    <w:rsid w:val="00795CC5"/>
    <w:rsid w:val="00796B60"/>
    <w:rsid w:val="00797C0D"/>
    <w:rsid w:val="007C61EE"/>
    <w:rsid w:val="007D29FF"/>
    <w:rsid w:val="007D2E52"/>
    <w:rsid w:val="007D3B9F"/>
    <w:rsid w:val="007E01FF"/>
    <w:rsid w:val="007E3238"/>
    <w:rsid w:val="007F279A"/>
    <w:rsid w:val="007F3A31"/>
    <w:rsid w:val="008061E0"/>
    <w:rsid w:val="00824C6F"/>
    <w:rsid w:val="00853CEC"/>
    <w:rsid w:val="00857790"/>
    <w:rsid w:val="00882F12"/>
    <w:rsid w:val="00892264"/>
    <w:rsid w:val="008B159F"/>
    <w:rsid w:val="008B2017"/>
    <w:rsid w:val="008C09D1"/>
    <w:rsid w:val="008D3133"/>
    <w:rsid w:val="008D4DC7"/>
    <w:rsid w:val="008E5000"/>
    <w:rsid w:val="008E61BF"/>
    <w:rsid w:val="008F1D06"/>
    <w:rsid w:val="008F1D11"/>
    <w:rsid w:val="008F2D66"/>
    <w:rsid w:val="00906326"/>
    <w:rsid w:val="009238FD"/>
    <w:rsid w:val="00924215"/>
    <w:rsid w:val="00940EDA"/>
    <w:rsid w:val="00947610"/>
    <w:rsid w:val="0095078B"/>
    <w:rsid w:val="00961469"/>
    <w:rsid w:val="00981783"/>
    <w:rsid w:val="00982F81"/>
    <w:rsid w:val="00985B4B"/>
    <w:rsid w:val="009A0F2C"/>
    <w:rsid w:val="009A3DC8"/>
    <w:rsid w:val="009B126D"/>
    <w:rsid w:val="009C0A33"/>
    <w:rsid w:val="009C1BB5"/>
    <w:rsid w:val="009C2719"/>
    <w:rsid w:val="009C3216"/>
    <w:rsid w:val="009C4419"/>
    <w:rsid w:val="009C6D3A"/>
    <w:rsid w:val="009D3E32"/>
    <w:rsid w:val="009E043A"/>
    <w:rsid w:val="009E3746"/>
    <w:rsid w:val="00A05BB2"/>
    <w:rsid w:val="00A30443"/>
    <w:rsid w:val="00A31064"/>
    <w:rsid w:val="00A531C6"/>
    <w:rsid w:val="00A67997"/>
    <w:rsid w:val="00A70B62"/>
    <w:rsid w:val="00A728D1"/>
    <w:rsid w:val="00A76D29"/>
    <w:rsid w:val="00A859B2"/>
    <w:rsid w:val="00A9757B"/>
    <w:rsid w:val="00AB4201"/>
    <w:rsid w:val="00AC0422"/>
    <w:rsid w:val="00AC54FB"/>
    <w:rsid w:val="00AC5C4D"/>
    <w:rsid w:val="00AD1D5A"/>
    <w:rsid w:val="00AD4BD3"/>
    <w:rsid w:val="00AD6D76"/>
    <w:rsid w:val="00AD77B8"/>
    <w:rsid w:val="00AF1D4A"/>
    <w:rsid w:val="00B02F0C"/>
    <w:rsid w:val="00B1351A"/>
    <w:rsid w:val="00B153B8"/>
    <w:rsid w:val="00B210B4"/>
    <w:rsid w:val="00B24D7E"/>
    <w:rsid w:val="00B24DAD"/>
    <w:rsid w:val="00B265B6"/>
    <w:rsid w:val="00B41EB6"/>
    <w:rsid w:val="00B5477A"/>
    <w:rsid w:val="00B74568"/>
    <w:rsid w:val="00B8191A"/>
    <w:rsid w:val="00B849F1"/>
    <w:rsid w:val="00B93683"/>
    <w:rsid w:val="00B95F2B"/>
    <w:rsid w:val="00B96EA1"/>
    <w:rsid w:val="00BB64CE"/>
    <w:rsid w:val="00BB68AE"/>
    <w:rsid w:val="00BC2122"/>
    <w:rsid w:val="00BF4F0C"/>
    <w:rsid w:val="00C1109F"/>
    <w:rsid w:val="00C16F36"/>
    <w:rsid w:val="00C200B5"/>
    <w:rsid w:val="00C26A20"/>
    <w:rsid w:val="00C30A27"/>
    <w:rsid w:val="00C36DD3"/>
    <w:rsid w:val="00C47663"/>
    <w:rsid w:val="00C510F8"/>
    <w:rsid w:val="00C70A5D"/>
    <w:rsid w:val="00C7759F"/>
    <w:rsid w:val="00C8535F"/>
    <w:rsid w:val="00C958F8"/>
    <w:rsid w:val="00CA18AB"/>
    <w:rsid w:val="00CA293B"/>
    <w:rsid w:val="00CB510B"/>
    <w:rsid w:val="00CC6C30"/>
    <w:rsid w:val="00CD1BD6"/>
    <w:rsid w:val="00CD5DAA"/>
    <w:rsid w:val="00D16A3E"/>
    <w:rsid w:val="00D16DA6"/>
    <w:rsid w:val="00D23EEE"/>
    <w:rsid w:val="00D33D47"/>
    <w:rsid w:val="00D356D6"/>
    <w:rsid w:val="00D41660"/>
    <w:rsid w:val="00D439D1"/>
    <w:rsid w:val="00D75194"/>
    <w:rsid w:val="00D777EA"/>
    <w:rsid w:val="00D808BF"/>
    <w:rsid w:val="00DA367F"/>
    <w:rsid w:val="00DB6AF4"/>
    <w:rsid w:val="00DD08D5"/>
    <w:rsid w:val="00DD1AB3"/>
    <w:rsid w:val="00DF1973"/>
    <w:rsid w:val="00DF23D8"/>
    <w:rsid w:val="00DF6C89"/>
    <w:rsid w:val="00E110BE"/>
    <w:rsid w:val="00E15577"/>
    <w:rsid w:val="00E30AFA"/>
    <w:rsid w:val="00E422B7"/>
    <w:rsid w:val="00E43C91"/>
    <w:rsid w:val="00E46149"/>
    <w:rsid w:val="00E47653"/>
    <w:rsid w:val="00E65C90"/>
    <w:rsid w:val="00E67716"/>
    <w:rsid w:val="00E71447"/>
    <w:rsid w:val="00E74638"/>
    <w:rsid w:val="00E87C56"/>
    <w:rsid w:val="00ED0A75"/>
    <w:rsid w:val="00ED5F20"/>
    <w:rsid w:val="00ED6A49"/>
    <w:rsid w:val="00EF1F61"/>
    <w:rsid w:val="00EF7CC3"/>
    <w:rsid w:val="00F03786"/>
    <w:rsid w:val="00F15064"/>
    <w:rsid w:val="00F15343"/>
    <w:rsid w:val="00F27DE6"/>
    <w:rsid w:val="00F33AA6"/>
    <w:rsid w:val="00F42451"/>
    <w:rsid w:val="00F4760D"/>
    <w:rsid w:val="00F64131"/>
    <w:rsid w:val="00F87995"/>
    <w:rsid w:val="00F948F1"/>
    <w:rsid w:val="00FA4E4A"/>
    <w:rsid w:val="00FB2985"/>
    <w:rsid w:val="00FB61A2"/>
    <w:rsid w:val="00FB6F0F"/>
    <w:rsid w:val="00FD1AEE"/>
    <w:rsid w:val="00FE4E6C"/>
    <w:rsid w:val="00FF6A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C4217"/>
  <w15:chartTrackingRefBased/>
  <w15:docId w15:val="{98C64EED-9784-455C-899B-FD3D6DD8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A70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517858">
      <w:bodyDiv w:val="1"/>
      <w:marLeft w:val="0"/>
      <w:marRight w:val="0"/>
      <w:marTop w:val="0"/>
      <w:marBottom w:val="0"/>
      <w:divBdr>
        <w:top w:val="none" w:sz="0" w:space="0" w:color="auto"/>
        <w:left w:val="none" w:sz="0" w:space="0" w:color="auto"/>
        <w:bottom w:val="none" w:sz="0" w:space="0" w:color="auto"/>
        <w:right w:val="none" w:sz="0" w:space="0" w:color="auto"/>
      </w:divBdr>
    </w:div>
    <w:div w:id="749617824">
      <w:bodyDiv w:val="1"/>
      <w:marLeft w:val="0"/>
      <w:marRight w:val="0"/>
      <w:marTop w:val="0"/>
      <w:marBottom w:val="0"/>
      <w:divBdr>
        <w:top w:val="none" w:sz="0" w:space="0" w:color="auto"/>
        <w:left w:val="none" w:sz="0" w:space="0" w:color="auto"/>
        <w:bottom w:val="none" w:sz="0" w:space="0" w:color="auto"/>
        <w:right w:val="none" w:sz="0" w:space="0" w:color="auto"/>
      </w:divBdr>
    </w:div>
    <w:div w:id="109709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rist&#243;bal\Desktop\Kiko\Universidad\Semestre%208\Macro%20Internacional\Excel%20Entrega%202.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Crist&#243;bal\Desktop\Kiko\Universidad\Semestre%208\Macro%20Internacional\Excel%20Entrega%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s-CL"/>
              <a:t>Tipo de Cambio</a:t>
            </a:r>
            <a:r>
              <a:rPr lang="es-CL" baseline="0"/>
              <a:t> Real</a:t>
            </a:r>
            <a:endParaRPr lang="es-CL"/>
          </a:p>
        </c:rich>
      </c:tx>
      <c:overlay val="0"/>
    </c:title>
    <c:autoTitleDeleted val="0"/>
    <c:plotArea>
      <c:layout/>
      <c:scatterChart>
        <c:scatterStyle val="lineMarker"/>
        <c:varyColors val="0"/>
        <c:ser>
          <c:idx val="0"/>
          <c:order val="0"/>
          <c:tx>
            <c:strRef>
              <c:f>'3.a)'!$N$2</c:f>
              <c:strCache>
                <c:ptCount val="1"/>
                <c:pt idx="0">
                  <c:v>Tipo de Cambio Real</c:v>
                </c:pt>
              </c:strCache>
            </c:strRef>
          </c:tx>
          <c:spPr>
            <a:ln w="31750">
              <a:noFill/>
            </a:ln>
          </c:spPr>
          <c:marker>
            <c:symbol val="diamond"/>
            <c:size val="12"/>
          </c:marker>
          <c:trendline>
            <c:trendlineType val="linear"/>
            <c:dispRSqr val="0"/>
            <c:dispEq val="1"/>
            <c:trendlineLbl>
              <c:layout>
                <c:manualLayout>
                  <c:x val="-4.6297389142146698E-2"/>
                  <c:y val="4.2556393737496097E-2"/>
                </c:manualLayout>
              </c:layout>
              <c:numFmt formatCode="General" sourceLinked="0"/>
              <c:txPr>
                <a:bodyPr/>
                <a:lstStyle/>
                <a:p>
                  <a:pPr>
                    <a:defRPr sz="1600"/>
                  </a:pPr>
                  <a:endParaRPr lang="es-CL"/>
                </a:p>
              </c:txPr>
            </c:trendlineLbl>
          </c:trendline>
          <c:xVal>
            <c:numRef>
              <c:f>'3.a)'!$I$3:$I$57</c:f>
              <c:numCache>
                <c:formatCode>0</c:formatCode>
                <c:ptCount val="55"/>
                <c:pt idx="0">
                  <c:v>121.61682656826567</c:v>
                </c:pt>
                <c:pt idx="1">
                  <c:v>108.97856088560884</c:v>
                </c:pt>
                <c:pt idx="2">
                  <c:v>132.25553505535055</c:v>
                </c:pt>
                <c:pt idx="3">
                  <c:v>151.59726065345757</c:v>
                </c:pt>
                <c:pt idx="4">
                  <c:v>95.735227552275518</c:v>
                </c:pt>
                <c:pt idx="5">
                  <c:v>123.02073647157152</c:v>
                </c:pt>
                <c:pt idx="6">
                  <c:v>98.347823024421487</c:v>
                </c:pt>
                <c:pt idx="7">
                  <c:v>55.91832489310152</c:v>
                </c:pt>
                <c:pt idx="8">
                  <c:v>116.71396013593008</c:v>
                </c:pt>
                <c:pt idx="9">
                  <c:v>100.00000853658608</c:v>
                </c:pt>
                <c:pt idx="10">
                  <c:v>100.18206268927258</c:v>
                </c:pt>
                <c:pt idx="11">
                  <c:v>134.86847253895115</c:v>
                </c:pt>
                <c:pt idx="12">
                  <c:v>58.137783658950305</c:v>
                </c:pt>
                <c:pt idx="13">
                  <c:v>77.589913899138992</c:v>
                </c:pt>
                <c:pt idx="14">
                  <c:v>132.25553505535055</c:v>
                </c:pt>
                <c:pt idx="15">
                  <c:v>123.43849938499385</c:v>
                </c:pt>
                <c:pt idx="16">
                  <c:v>119.91168511685115</c:v>
                </c:pt>
                <c:pt idx="17">
                  <c:v>114.97414514145142</c:v>
                </c:pt>
                <c:pt idx="18">
                  <c:v>47.673671633915951</c:v>
                </c:pt>
                <c:pt idx="19">
                  <c:v>99.409519748084335</c:v>
                </c:pt>
                <c:pt idx="20">
                  <c:v>46.541005950600045</c:v>
                </c:pt>
                <c:pt idx="21">
                  <c:v>65.040706725265068</c:v>
                </c:pt>
                <c:pt idx="22">
                  <c:v>134.01894218942186</c:v>
                </c:pt>
                <c:pt idx="23">
                  <c:v>114.92908793956377</c:v>
                </c:pt>
                <c:pt idx="24">
                  <c:v>123.43849938499385</c:v>
                </c:pt>
                <c:pt idx="25">
                  <c:v>100.45401289845222</c:v>
                </c:pt>
                <c:pt idx="26">
                  <c:v>79.556126536505374</c:v>
                </c:pt>
                <c:pt idx="27">
                  <c:v>74.564771557032955</c:v>
                </c:pt>
                <c:pt idx="28">
                  <c:v>59.576781438853743</c:v>
                </c:pt>
                <c:pt idx="29">
                  <c:v>67.451352490518673</c:v>
                </c:pt>
                <c:pt idx="30">
                  <c:v>114.62146371463714</c:v>
                </c:pt>
                <c:pt idx="31">
                  <c:v>108.52398523985237</c:v>
                </c:pt>
                <c:pt idx="32">
                  <c:v>204.47004924422586</c:v>
                </c:pt>
                <c:pt idx="33">
                  <c:v>58.442856708374826</c:v>
                </c:pt>
                <c:pt idx="34">
                  <c:v>89.863912337753518</c:v>
                </c:pt>
                <c:pt idx="35">
                  <c:v>68.446805665887354</c:v>
                </c:pt>
                <c:pt idx="36">
                  <c:v>75.908224757304779</c:v>
                </c:pt>
                <c:pt idx="37">
                  <c:v>102.27761377613776</c:v>
                </c:pt>
                <c:pt idx="38">
                  <c:v>66.481162064120397</c:v>
                </c:pt>
                <c:pt idx="39">
                  <c:v>65.597157491493846</c:v>
                </c:pt>
                <c:pt idx="40">
                  <c:v>89.877871563604401</c:v>
                </c:pt>
                <c:pt idx="41">
                  <c:v>70.687751205573676</c:v>
                </c:pt>
                <c:pt idx="42">
                  <c:v>86.177722220320092</c:v>
                </c:pt>
                <c:pt idx="43">
                  <c:v>123.43849938499385</c:v>
                </c:pt>
                <c:pt idx="44">
                  <c:v>62.919103728602934</c:v>
                </c:pt>
                <c:pt idx="45">
                  <c:v>187.94227593747078</c:v>
                </c:pt>
                <c:pt idx="46">
                  <c:v>198.35216649009507</c:v>
                </c:pt>
                <c:pt idx="47">
                  <c:v>63.987599715076016</c:v>
                </c:pt>
                <c:pt idx="48">
                  <c:v>57.882931770494174</c:v>
                </c:pt>
                <c:pt idx="49">
                  <c:v>92.812258186139331</c:v>
                </c:pt>
                <c:pt idx="50">
                  <c:v>80.369979180659186</c:v>
                </c:pt>
                <c:pt idx="51">
                  <c:v>50.77608944715918</c:v>
                </c:pt>
                <c:pt idx="52">
                  <c:v>100</c:v>
                </c:pt>
                <c:pt idx="53">
                  <c:v>120.0012000120001</c:v>
                </c:pt>
                <c:pt idx="54">
                  <c:v>160.38719990427174</c:v>
                </c:pt>
              </c:numCache>
            </c:numRef>
          </c:xVal>
          <c:yVal>
            <c:numRef>
              <c:f>'3.a)'!$M$3:$M$57</c:f>
              <c:numCache>
                <c:formatCode>0</c:formatCode>
                <c:ptCount val="55"/>
                <c:pt idx="0">
                  <c:v>157.47289983556988</c:v>
                </c:pt>
                <c:pt idx="1">
                  <c:v>117.82553064282286</c:v>
                </c:pt>
                <c:pt idx="2">
                  <c:v>122.19473969164483</c:v>
                </c:pt>
                <c:pt idx="3">
                  <c:v>99.160214114891602</c:v>
                </c:pt>
                <c:pt idx="4">
                  <c:v>121.15767469547201</c:v>
                </c:pt>
                <c:pt idx="5">
                  <c:v>129.81747423560753</c:v>
                </c:pt>
                <c:pt idx="6">
                  <c:v>80.973774393547743</c:v>
                </c:pt>
                <c:pt idx="7">
                  <c:v>57.202413626225216</c:v>
                </c:pt>
                <c:pt idx="8">
                  <c:v>64.765394928788524</c:v>
                </c:pt>
                <c:pt idx="9">
                  <c:v>67.986932384157555</c:v>
                </c:pt>
                <c:pt idx="10">
                  <c:v>84.238906939583998</c:v>
                </c:pt>
                <c:pt idx="11">
                  <c:v>159.03881796064019</c:v>
                </c:pt>
                <c:pt idx="12">
                  <c:v>30.231547834970137</c:v>
                </c:pt>
                <c:pt idx="13">
                  <c:v>84.598485633410803</c:v>
                </c:pt>
                <c:pt idx="14">
                  <c:v>136.26738920678622</c:v>
                </c:pt>
                <c:pt idx="15">
                  <c:v>122.2976256219857</c:v>
                </c:pt>
                <c:pt idx="16">
                  <c:v>113.71703847184322</c:v>
                </c:pt>
                <c:pt idx="17">
                  <c:v>105.40746688483127</c:v>
                </c:pt>
                <c:pt idx="18">
                  <c:v>73.914289629988062</c:v>
                </c:pt>
                <c:pt idx="19">
                  <c:v>68.609979220726586</c:v>
                </c:pt>
                <c:pt idx="20">
                  <c:v>32.087019309939109</c:v>
                </c:pt>
                <c:pt idx="21">
                  <c:v>46.65606510963859</c:v>
                </c:pt>
                <c:pt idx="22">
                  <c:v>132.30105422015083</c:v>
                </c:pt>
                <c:pt idx="23">
                  <c:v>119.34259615463965</c:v>
                </c:pt>
                <c:pt idx="24">
                  <c:v>114.74091984176087</c:v>
                </c:pt>
                <c:pt idx="25">
                  <c:v>145.48001503583831</c:v>
                </c:pt>
                <c:pt idx="26">
                  <c:v>79.353649738289363</c:v>
                </c:pt>
                <c:pt idx="27">
                  <c:v>71.900496519938386</c:v>
                </c:pt>
                <c:pt idx="28">
                  <c:v>51.832833934450271</c:v>
                </c:pt>
                <c:pt idx="29">
                  <c:v>71.963265112694913</c:v>
                </c:pt>
                <c:pt idx="30">
                  <c:v>120.82200280876283</c:v>
                </c:pt>
                <c:pt idx="31">
                  <c:v>125.54210469317073</c:v>
                </c:pt>
                <c:pt idx="32">
                  <c:v>174.75583173160786</c:v>
                </c:pt>
                <c:pt idx="33">
                  <c:v>29.433931196101042</c:v>
                </c:pt>
                <c:pt idx="34">
                  <c:v>56.956500898570518</c:v>
                </c:pt>
                <c:pt idx="35">
                  <c:v>43.574061505083179</c:v>
                </c:pt>
                <c:pt idx="36">
                  <c:v>65.324290743014629</c:v>
                </c:pt>
                <c:pt idx="37">
                  <c:v>97.84639027815075</c:v>
                </c:pt>
                <c:pt idx="38">
                  <c:v>57.130739505076768</c:v>
                </c:pt>
                <c:pt idx="39">
                  <c:v>47.609339285868543</c:v>
                </c:pt>
                <c:pt idx="40">
                  <c:v>93.098424839647649</c:v>
                </c:pt>
                <c:pt idx="41">
                  <c:v>69.789936952599547</c:v>
                </c:pt>
                <c:pt idx="42">
                  <c:v>82.290861893047676</c:v>
                </c:pt>
                <c:pt idx="43">
                  <c:v>108.00189104132964</c:v>
                </c:pt>
                <c:pt idx="44">
                  <c:v>38.18464552428663</c:v>
                </c:pt>
                <c:pt idx="45">
                  <c:v>140.17114617076939</c:v>
                </c:pt>
                <c:pt idx="46">
                  <c:v>181.96241029458483</c:v>
                </c:pt>
                <c:pt idx="47">
                  <c:v>54.276800016324046</c:v>
                </c:pt>
                <c:pt idx="48">
                  <c:v>42.124136142653001</c:v>
                </c:pt>
                <c:pt idx="49">
                  <c:v>69.235693452270311</c:v>
                </c:pt>
                <c:pt idx="50">
                  <c:v>74.01540282231484</c:v>
                </c:pt>
                <c:pt idx="51">
                  <c:v>41.558709415844028</c:v>
                </c:pt>
                <c:pt idx="52">
                  <c:v>100</c:v>
                </c:pt>
                <c:pt idx="53">
                  <c:v>85.035068609284053</c:v>
                </c:pt>
                <c:pt idx="54">
                  <c:v>67.959930453331978</c:v>
                </c:pt>
              </c:numCache>
            </c:numRef>
          </c:yVal>
          <c:smooth val="0"/>
          <c:extLst>
            <c:ext xmlns:c16="http://schemas.microsoft.com/office/drawing/2014/chart" uri="{C3380CC4-5D6E-409C-BE32-E72D297353CC}">
              <c16:uniqueId val="{00000001-BEF1-45A5-B27F-3B0AEF5F0269}"/>
            </c:ext>
          </c:extLst>
        </c:ser>
        <c:dLbls>
          <c:showLegendKey val="0"/>
          <c:showVal val="0"/>
          <c:showCatName val="0"/>
          <c:showSerName val="0"/>
          <c:showPercent val="0"/>
          <c:showBubbleSize val="0"/>
        </c:dLbls>
        <c:axId val="260867936"/>
        <c:axId val="1"/>
      </c:scatterChart>
      <c:valAx>
        <c:axId val="260867936"/>
        <c:scaling>
          <c:orientation val="minMax"/>
        </c:scaling>
        <c:delete val="0"/>
        <c:axPos val="b"/>
        <c:title>
          <c:tx>
            <c:rich>
              <a:bodyPr/>
              <a:lstStyle/>
              <a:p>
                <a:pPr>
                  <a:defRPr/>
                </a:pPr>
                <a:r>
                  <a:rPr lang="es-CL"/>
                  <a:t>e BG</a:t>
                </a:r>
              </a:p>
            </c:rich>
          </c:tx>
          <c:overlay val="0"/>
        </c:title>
        <c:numFmt formatCode="0" sourceLinked="1"/>
        <c:majorTickMark val="out"/>
        <c:minorTickMark val="none"/>
        <c:tickLblPos val="nextTo"/>
        <c:txPr>
          <a:bodyPr rot="0" vert="horz"/>
          <a:lstStyle/>
          <a:p>
            <a:pPr>
              <a:defRPr sz="1200" b="0" i="0" u="none" strike="noStrike" baseline="0">
                <a:solidFill>
                  <a:srgbClr val="000000"/>
                </a:solidFill>
                <a:latin typeface="Calibri"/>
                <a:ea typeface="Calibri"/>
                <a:cs typeface="Calibri"/>
              </a:defRPr>
            </a:pPr>
            <a:endParaRPr lang="es-CL"/>
          </a:p>
        </c:txPr>
        <c:crossAx val="1"/>
        <c:crosses val="autoZero"/>
        <c:crossBetween val="midCat"/>
      </c:valAx>
      <c:valAx>
        <c:axId val="1"/>
        <c:scaling>
          <c:orientation val="minMax"/>
        </c:scaling>
        <c:delete val="0"/>
        <c:axPos val="l"/>
        <c:majorGridlines>
          <c:spPr>
            <a:ln>
              <a:prstDash val="sysDot"/>
            </a:ln>
          </c:spPr>
        </c:majorGridlines>
        <c:title>
          <c:tx>
            <c:rich>
              <a:bodyPr/>
              <a:lstStyle/>
              <a:p>
                <a:pPr>
                  <a:defRPr/>
                </a:pPr>
                <a:r>
                  <a:rPr lang="es-CL"/>
                  <a:t>e</a:t>
                </a:r>
                <a:r>
                  <a:rPr lang="es-CL" baseline="0"/>
                  <a:t> ICP</a:t>
                </a:r>
                <a:endParaRPr lang="es-CL"/>
              </a:p>
            </c:rich>
          </c:tx>
          <c:layout>
            <c:manualLayout>
              <c:xMode val="edge"/>
              <c:yMode val="edge"/>
              <c:x val="1.4485657719880307E-2"/>
              <c:y val="0.31728645621424983"/>
            </c:manualLayout>
          </c:layout>
          <c:overlay val="0"/>
        </c:title>
        <c:numFmt formatCode="0" sourceLinked="1"/>
        <c:majorTickMark val="out"/>
        <c:minorTickMark val="none"/>
        <c:tickLblPos val="nextTo"/>
        <c:txPr>
          <a:bodyPr/>
          <a:lstStyle/>
          <a:p>
            <a:pPr>
              <a:defRPr sz="1200"/>
            </a:pPr>
            <a:endParaRPr lang="es-CL"/>
          </a:p>
        </c:txPr>
        <c:crossAx val="260867936"/>
        <c:crosses val="autoZero"/>
        <c:crossBetween val="midCat"/>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Evidencia PPP</a:t>
            </a:r>
          </a:p>
        </c:rich>
      </c:tx>
      <c:layout>
        <c:manualLayout>
          <c:xMode val="edge"/>
          <c:yMode val="edge"/>
          <c:x val="0.40448617548061067"/>
          <c:y val="1.578531965272296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('4.e'!$B$4,'4.e'!$B$6:$B$11,'4.e'!$B$13:$B$70,'4.e'!$B$72:$B$87,'4.e'!$B$89:$B$101)</c:f>
              <c:numCache>
                <c:formatCode>0.00%</c:formatCode>
                <c:ptCount val="94"/>
                <c:pt idx="0">
                  <c:v>6.7118777890063194E-2</c:v>
                </c:pt>
                <c:pt idx="1">
                  <c:v>1.4434325464417801E-2</c:v>
                </c:pt>
                <c:pt idx="2">
                  <c:v>-1.2381462984950201E-2</c:v>
                </c:pt>
                <c:pt idx="3">
                  <c:v>-2.1013192655453699E-3</c:v>
                </c:pt>
                <c:pt idx="4">
                  <c:v>-1.06546155064352E-2</c:v>
                </c:pt>
                <c:pt idx="5">
                  <c:v>8.48744730175067E-3</c:v>
                </c:pt>
                <c:pt idx="6">
                  <c:v>-6.5767215862774803E-3</c:v>
                </c:pt>
                <c:pt idx="7">
                  <c:v>5.7953427513773699E-2</c:v>
                </c:pt>
                <c:pt idx="8">
                  <c:v>1.0347868461456499E-2</c:v>
                </c:pt>
                <c:pt idx="9">
                  <c:v>7.0649753961552403E-2</c:v>
                </c:pt>
                <c:pt idx="10">
                  <c:v>2.36975561013371E-2</c:v>
                </c:pt>
                <c:pt idx="11">
                  <c:v>1.24871395038718E-3</c:v>
                </c:pt>
                <c:pt idx="12">
                  <c:v>0.30910045167733802</c:v>
                </c:pt>
                <c:pt idx="13">
                  <c:v>0.15315204107121</c:v>
                </c:pt>
                <c:pt idx="14">
                  <c:v>0.13054471342110199</c:v>
                </c:pt>
                <c:pt idx="15">
                  <c:v>2.7141014491092099E-2</c:v>
                </c:pt>
                <c:pt idx="16">
                  <c:v>1.7136825450200599E-3</c:v>
                </c:pt>
                <c:pt idx="17">
                  <c:v>3.3530769736088298E-3</c:v>
                </c:pt>
                <c:pt idx="18">
                  <c:v>0.120111605212765</c:v>
                </c:pt>
                <c:pt idx="19">
                  <c:v>7.0533514156574398E-2</c:v>
                </c:pt>
                <c:pt idx="20">
                  <c:v>7.5418389589228002E-2</c:v>
                </c:pt>
                <c:pt idx="21">
                  <c:v>2.8860071558156699E-2</c:v>
                </c:pt>
                <c:pt idx="22">
                  <c:v>1.1405425208272301E-2</c:v>
                </c:pt>
                <c:pt idx="23">
                  <c:v>7.1288613954422599E-3</c:v>
                </c:pt>
                <c:pt idx="24">
                  <c:v>4.09318679721557E-3</c:v>
                </c:pt>
                <c:pt idx="25">
                  <c:v>1.6183271016010602E-2</c:v>
                </c:pt>
                <c:pt idx="26">
                  <c:v>6.6902880639062495E-2</c:v>
                </c:pt>
                <c:pt idx="27">
                  <c:v>0.346474575621595</c:v>
                </c:pt>
                <c:pt idx="28">
                  <c:v>8.2148572564902905E-2</c:v>
                </c:pt>
                <c:pt idx="29">
                  <c:v>7.2867631761324297E-2</c:v>
                </c:pt>
                <c:pt idx="30">
                  <c:v>9.4720320529140895E-2</c:v>
                </c:pt>
                <c:pt idx="31">
                  <c:v>7.1607132917548402E-2</c:v>
                </c:pt>
                <c:pt idx="32">
                  <c:v>7.5865541652087698E-2</c:v>
                </c:pt>
                <c:pt idx="33">
                  <c:v>0.16789113686693499</c:v>
                </c:pt>
                <c:pt idx="34">
                  <c:v>2.6102296897460301E-2</c:v>
                </c:pt>
                <c:pt idx="35">
                  <c:v>7.2420147942293997E-2</c:v>
                </c:pt>
                <c:pt idx="36">
                  <c:v>0.14572807727869699</c:v>
                </c:pt>
                <c:pt idx="37">
                  <c:v>2.2934546701369501E-2</c:v>
                </c:pt>
                <c:pt idx="38">
                  <c:v>0.48733953602039298</c:v>
                </c:pt>
                <c:pt idx="39">
                  <c:v>3.34188409359251E-2</c:v>
                </c:pt>
                <c:pt idx="40">
                  <c:v>0.14706934341564901</c:v>
                </c:pt>
                <c:pt idx="41">
                  <c:v>-2.26334161049567E-2</c:v>
                </c:pt>
                <c:pt idx="42">
                  <c:v>1.6455230053752001E-2</c:v>
                </c:pt>
                <c:pt idx="43">
                  <c:v>8.7118533051317504E-2</c:v>
                </c:pt>
                <c:pt idx="44">
                  <c:v>3.2884965845476899E-2</c:v>
                </c:pt>
                <c:pt idx="45">
                  <c:v>-8.1108148244112607E-3</c:v>
                </c:pt>
                <c:pt idx="46">
                  <c:v>7.9842030874780097E-3</c:v>
                </c:pt>
                <c:pt idx="47">
                  <c:v>-7.3639411192467398E-3</c:v>
                </c:pt>
                <c:pt idx="48">
                  <c:v>0.103128529114752</c:v>
                </c:pt>
                <c:pt idx="49">
                  <c:v>-1.22999250348535E-2</c:v>
                </c:pt>
                <c:pt idx="50">
                  <c:v>-9.9382906729900706E-3</c:v>
                </c:pt>
                <c:pt idx="51">
                  <c:v>4.3613000044699202E-2</c:v>
                </c:pt>
                <c:pt idx="52">
                  <c:v>0.28461203787712902</c:v>
                </c:pt>
                <c:pt idx="53">
                  <c:v>1.1086325557067501E-2</c:v>
                </c:pt>
                <c:pt idx="54">
                  <c:v>0.13186614224502799</c:v>
                </c:pt>
                <c:pt idx="55">
                  <c:v>3.6016889625454102E-2</c:v>
                </c:pt>
                <c:pt idx="56">
                  <c:v>-1.28679595228609E-2</c:v>
                </c:pt>
                <c:pt idx="57">
                  <c:v>2.7176974777579299E-2</c:v>
                </c:pt>
                <c:pt idx="58">
                  <c:v>8.3085856374460407E-3</c:v>
                </c:pt>
                <c:pt idx="59">
                  <c:v>0.18249815707825301</c:v>
                </c:pt>
                <c:pt idx="60">
                  <c:v>6.64666006100657E-3</c:v>
                </c:pt>
                <c:pt idx="61">
                  <c:v>3.5708613415589903E-2</c:v>
                </c:pt>
                <c:pt idx="62">
                  <c:v>-2.13711619674526E-2</c:v>
                </c:pt>
                <c:pt idx="63">
                  <c:v>3.1765621245964097E-2</c:v>
                </c:pt>
                <c:pt idx="64">
                  <c:v>0.108235981235898</c:v>
                </c:pt>
                <c:pt idx="65">
                  <c:v>5.9040153500597402E-2</c:v>
                </c:pt>
                <c:pt idx="66">
                  <c:v>0.40942192598018701</c:v>
                </c:pt>
                <c:pt idx="67">
                  <c:v>7.2452918047453505E-2</c:v>
                </c:pt>
                <c:pt idx="68">
                  <c:v>3.6538828427839301E-2</c:v>
                </c:pt>
                <c:pt idx="69">
                  <c:v>-1.6654392391194602E-2</c:v>
                </c:pt>
                <c:pt idx="70">
                  <c:v>1.1946070271119699E-2</c:v>
                </c:pt>
                <c:pt idx="71">
                  <c:v>3.91888269875168E-3</c:v>
                </c:pt>
                <c:pt idx="72">
                  <c:v>0.34070112042435002</c:v>
                </c:pt>
                <c:pt idx="73">
                  <c:v>-2.49260011789471E-2</c:v>
                </c:pt>
                <c:pt idx="74">
                  <c:v>5.6797823650996601E-2</c:v>
                </c:pt>
                <c:pt idx="75">
                  <c:v>6.2229608324820301E-2</c:v>
                </c:pt>
                <c:pt idx="76">
                  <c:v>3.7677440823854699E-2</c:v>
                </c:pt>
                <c:pt idx="77">
                  <c:v>6.0097109157070602E-2</c:v>
                </c:pt>
                <c:pt idx="78">
                  <c:v>6.4434918522213299E-3</c:v>
                </c:pt>
                <c:pt idx="79">
                  <c:v>2.1495267809586499E-3</c:v>
                </c:pt>
                <c:pt idx="80">
                  <c:v>0.37526577029950797</c:v>
                </c:pt>
                <c:pt idx="81">
                  <c:v>6.8733594582805896E-2</c:v>
                </c:pt>
                <c:pt idx="82">
                  <c:v>8.7845003314672397E-3</c:v>
                </c:pt>
                <c:pt idx="83">
                  <c:v>-2.1172068057093998E-2</c:v>
                </c:pt>
                <c:pt idx="84">
                  <c:v>7.30497913977802E-2</c:v>
                </c:pt>
                <c:pt idx="85">
                  <c:v>0.156503242393083</c:v>
                </c:pt>
                <c:pt idx="86">
                  <c:v>4.43650315270317E-3</c:v>
                </c:pt>
                <c:pt idx="87">
                  <c:v>1.76882431677595E-2</c:v>
                </c:pt>
                <c:pt idx="88">
                  <c:v>4.1777562619388101E-2</c:v>
                </c:pt>
                <c:pt idx="89">
                  <c:v>0.48745755609025099</c:v>
                </c:pt>
                <c:pt idx="90" formatCode="0%">
                  <c:v>0</c:v>
                </c:pt>
                <c:pt idx="91">
                  <c:v>0.41306490389130801</c:v>
                </c:pt>
                <c:pt idx="92">
                  <c:v>0.23474387820112899</c:v>
                </c:pt>
                <c:pt idx="93">
                  <c:v>0.52120460835010596</c:v>
                </c:pt>
              </c:numCache>
            </c:numRef>
          </c:xVal>
          <c:yVal>
            <c:numRef>
              <c:f>('4.e'!$C$4,'4.e'!$C$6:$C$11,'4.e'!$C$13:$C$70,'4.e'!$C$72:$C$87,'4.e'!$C$89:$C$101)</c:f>
              <c:numCache>
                <c:formatCode>0%</c:formatCode>
                <c:ptCount val="94"/>
                <c:pt idx="0">
                  <c:v>0.11804445125207121</c:v>
                </c:pt>
                <c:pt idx="1">
                  <c:v>2.2052925020705025E-2</c:v>
                </c:pt>
                <c:pt idx="2">
                  <c:v>-4.1427603129251783E-2</c:v>
                </c:pt>
                <c:pt idx="3">
                  <c:v>3.3333332415833763E-11</c:v>
                </c:pt>
                <c:pt idx="4">
                  <c:v>-1.6717364448675949E-3</c:v>
                </c:pt>
                <c:pt idx="5">
                  <c:v>-3.1150477570647051E-4</c:v>
                </c:pt>
                <c:pt idx="6">
                  <c:v>-3.1108282553097798E-2</c:v>
                </c:pt>
                <c:pt idx="7">
                  <c:v>7.3435029146647957E-2</c:v>
                </c:pt>
                <c:pt idx="8">
                  <c:v>4.6130476991505499E-2</c:v>
                </c:pt>
                <c:pt idx="9">
                  <c:v>9.5451504906730572E-2</c:v>
                </c:pt>
                <c:pt idx="10">
                  <c:v>4.6130476991505499E-2</c:v>
                </c:pt>
                <c:pt idx="11">
                  <c:v>6.9964578675897286E-3</c:v>
                </c:pt>
                <c:pt idx="12">
                  <c:v>0.20301414399743789</c:v>
                </c:pt>
                <c:pt idx="13">
                  <c:v>0.16101394466613111</c:v>
                </c:pt>
                <c:pt idx="14">
                  <c:v>0.16605952483100497</c:v>
                </c:pt>
                <c:pt idx="15">
                  <c:v>4.6130476991505499E-2</c:v>
                </c:pt>
                <c:pt idx="16">
                  <c:v>1.1459037309791828E-2</c:v>
                </c:pt>
                <c:pt idx="17">
                  <c:v>7.5350376638791275E-3</c:v>
                </c:pt>
                <c:pt idx="18">
                  <c:v>0.16568314006622029</c:v>
                </c:pt>
                <c:pt idx="19">
                  <c:v>0.11706402659422373</c:v>
                </c:pt>
                <c:pt idx="20">
                  <c:v>5.3361594800575916E-2</c:v>
                </c:pt>
                <c:pt idx="21">
                  <c:v>5.7021863267378348E-2</c:v>
                </c:pt>
                <c:pt idx="22">
                  <c:v>2.7920636362139921E-2</c:v>
                </c:pt>
                <c:pt idx="23">
                  <c:v>-1.4397576002740617E-2</c:v>
                </c:pt>
                <c:pt idx="24">
                  <c:v>-1.6037021140812575E-2</c:v>
                </c:pt>
                <c:pt idx="25">
                  <c:v>4.6130476991505499E-2</c:v>
                </c:pt>
                <c:pt idx="26">
                  <c:v>0.1081725202515002</c:v>
                </c:pt>
                <c:pt idx="27">
                  <c:v>0.43811964115629648</c:v>
                </c:pt>
                <c:pt idx="28">
                  <c:v>4.5833098789135565E-2</c:v>
                </c:pt>
                <c:pt idx="29">
                  <c:v>8.2747752647017878E-2</c:v>
                </c:pt>
                <c:pt idx="30">
                  <c:v>8.1442111180358184E-2</c:v>
                </c:pt>
                <c:pt idx="31">
                  <c:v>9.0406064329290367E-2</c:v>
                </c:pt>
                <c:pt idx="32">
                  <c:v>5.7249487810943425E-2</c:v>
                </c:pt>
                <c:pt idx="33">
                  <c:v>0.15524478592218094</c:v>
                </c:pt>
                <c:pt idx="34">
                  <c:v>5.9537536746907017E-2</c:v>
                </c:pt>
                <c:pt idx="35">
                  <c:v>0.15448374412281929</c:v>
                </c:pt>
                <c:pt idx="36">
                  <c:v>0.73117820842922499</c:v>
                </c:pt>
                <c:pt idx="37">
                  <c:v>2.6982699649536195E-2</c:v>
                </c:pt>
                <c:pt idx="38">
                  <c:v>0.5017136887601914</c:v>
                </c:pt>
                <c:pt idx="39">
                  <c:v>2.0576594709405729E-3</c:v>
                </c:pt>
                <c:pt idx="40">
                  <c:v>0.17644326247063105</c:v>
                </c:pt>
                <c:pt idx="41">
                  <c:v>-2.6930589240257593E-2</c:v>
                </c:pt>
                <c:pt idx="42">
                  <c:v>3.1357683891136655E-2</c:v>
                </c:pt>
                <c:pt idx="43">
                  <c:v>9.0305707581503594E-2</c:v>
                </c:pt>
                <c:pt idx="44">
                  <c:v>3.1444786107225314E-2</c:v>
                </c:pt>
                <c:pt idx="45">
                  <c:v>4.6709073028858257E-4</c:v>
                </c:pt>
                <c:pt idx="46">
                  <c:v>6.3477687994998949E-2</c:v>
                </c:pt>
                <c:pt idx="47">
                  <c:v>-3.1108282553097798E-2</c:v>
                </c:pt>
                <c:pt idx="48">
                  <c:v>0.15157591491122888</c:v>
                </c:pt>
                <c:pt idx="49">
                  <c:v>1.8125937446050108E-2</c:v>
                </c:pt>
                <c:pt idx="50">
                  <c:v>-3.7687069251293991E-4</c:v>
                </c:pt>
                <c:pt idx="51">
                  <c:v>5.797258898248004E-2</c:v>
                </c:pt>
                <c:pt idx="52">
                  <c:v>0.31018758736750179</c:v>
                </c:pt>
                <c:pt idx="53">
                  <c:v>3.1126595855715346E-2</c:v>
                </c:pt>
                <c:pt idx="54">
                  <c:v>-1.6782308879065484E-3</c:v>
                </c:pt>
                <c:pt idx="55">
                  <c:v>6.6611884448980696E-2</c:v>
                </c:pt>
                <c:pt idx="56">
                  <c:v>-2.4680144962795417E-2</c:v>
                </c:pt>
                <c:pt idx="57">
                  <c:v>2.3885401261616788E-2</c:v>
                </c:pt>
                <c:pt idx="58">
                  <c:v>4.6130476991505499E-2</c:v>
                </c:pt>
                <c:pt idx="59">
                  <c:v>0.27788379235419375</c:v>
                </c:pt>
                <c:pt idx="60">
                  <c:v>1.0510752320299705E-2</c:v>
                </c:pt>
                <c:pt idx="61">
                  <c:v>6.3305892665910843E-2</c:v>
                </c:pt>
                <c:pt idx="62">
                  <c:v>3.3333332415833763E-11</c:v>
                </c:pt>
                <c:pt idx="63">
                  <c:v>5.3995208605933244E-2</c:v>
                </c:pt>
                <c:pt idx="64">
                  <c:v>0.15687670356118316</c:v>
                </c:pt>
                <c:pt idx="65">
                  <c:v>7.6206960735409238E-2</c:v>
                </c:pt>
                <c:pt idx="66">
                  <c:v>0.5964225860094573</c:v>
                </c:pt>
                <c:pt idx="67">
                  <c:v>3.7471213868882858E-2</c:v>
                </c:pt>
                <c:pt idx="68">
                  <c:v>5.4129845655427909E-2</c:v>
                </c:pt>
                <c:pt idx="69">
                  <c:v>2.1714110782864713E-3</c:v>
                </c:pt>
                <c:pt idx="70">
                  <c:v>4.6130476991505499E-2</c:v>
                </c:pt>
                <c:pt idx="71">
                  <c:v>-9.6819772670585496E-4</c:v>
                </c:pt>
                <c:pt idx="72">
                  <c:v>0.38230689859170813</c:v>
                </c:pt>
                <c:pt idx="73">
                  <c:v>-1.0870850978282538E-2</c:v>
                </c:pt>
                <c:pt idx="74">
                  <c:v>8.2034642622223458E-2</c:v>
                </c:pt>
                <c:pt idx="75">
                  <c:v>8.4667228112130496E-2</c:v>
                </c:pt>
                <c:pt idx="76">
                  <c:v>1.6365770267858059E-3</c:v>
                </c:pt>
                <c:pt idx="77">
                  <c:v>9.8881793624642694E-2</c:v>
                </c:pt>
                <c:pt idx="78">
                  <c:v>7.9221858735768324E-3</c:v>
                </c:pt>
                <c:pt idx="79">
                  <c:v>7.9221858735768324E-3</c:v>
                </c:pt>
                <c:pt idx="80">
                  <c:v>0.70177943375354757</c:v>
                </c:pt>
                <c:pt idx="81">
                  <c:v>8.4630473178769358E-2</c:v>
                </c:pt>
                <c:pt idx="82">
                  <c:v>2.6161355958329063E-2</c:v>
                </c:pt>
                <c:pt idx="83">
                  <c:v>-1.766253723938277E-2</c:v>
                </c:pt>
                <c:pt idx="84">
                  <c:v>6.3996958251426678E-2</c:v>
                </c:pt>
                <c:pt idx="85">
                  <c:v>0.20281798570713053</c:v>
                </c:pt>
                <c:pt idx="86">
                  <c:v>2.5809420106589206E-2</c:v>
                </c:pt>
                <c:pt idx="87">
                  <c:v>4.6130476991505499E-2</c:v>
                </c:pt>
                <c:pt idx="88">
                  <c:v>4.0004442643906485E-2</c:v>
                </c:pt>
                <c:pt idx="89">
                  <c:v>0.50790542572387698</c:v>
                </c:pt>
                <c:pt idx="90">
                  <c:v>0</c:v>
                </c:pt>
                <c:pt idx="91">
                  <c:v>0.3959953390518719</c:v>
                </c:pt>
                <c:pt idx="92">
                  <c:v>0.26985700776219973</c:v>
                </c:pt>
                <c:pt idx="93">
                  <c:v>0.89244662903900152</c:v>
                </c:pt>
              </c:numCache>
            </c:numRef>
          </c:yVal>
          <c:smooth val="0"/>
          <c:extLst>
            <c:ext xmlns:c16="http://schemas.microsoft.com/office/drawing/2014/chart" uri="{C3380CC4-5D6E-409C-BE32-E72D297353CC}">
              <c16:uniqueId val="{00000001-2901-427C-AB81-100AED5BA319}"/>
            </c:ext>
          </c:extLst>
        </c:ser>
        <c:dLbls>
          <c:showLegendKey val="0"/>
          <c:showVal val="0"/>
          <c:showCatName val="0"/>
          <c:showSerName val="0"/>
          <c:showPercent val="0"/>
          <c:showBubbleSize val="0"/>
        </c:dLbls>
        <c:axId val="527908808"/>
        <c:axId val="527903888"/>
      </c:scatterChart>
      <c:valAx>
        <c:axId val="527908808"/>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27903888"/>
        <c:crosses val="autoZero"/>
        <c:crossBetween val="midCat"/>
      </c:valAx>
      <c:valAx>
        <c:axId val="5279038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27908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7</Pages>
  <Words>1368</Words>
  <Characters>7526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Cristóbal Domeyko</dc:creator>
  <cp:keywords/>
  <dc:description/>
  <cp:lastModifiedBy>Cristóbal Domeyko</cp:lastModifiedBy>
  <cp:revision>1</cp:revision>
  <dcterms:created xsi:type="dcterms:W3CDTF">2017-10-09T21:21:00Z</dcterms:created>
  <dcterms:modified xsi:type="dcterms:W3CDTF">2017-10-09T22:56:00Z</dcterms:modified>
</cp:coreProperties>
</file>