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26" w:rsidRDefault="00EF3396" w:rsidP="00EF3396">
      <w:pPr>
        <w:jc w:val="both"/>
        <w:rPr>
          <w:lang w:val="es-ES"/>
        </w:rPr>
      </w:pPr>
      <w:r>
        <w:rPr>
          <w:lang w:val="es-ES"/>
        </w:rPr>
        <w:t>Pregunta 1.</w:t>
      </w:r>
    </w:p>
    <w:p w:rsidR="00EF3396" w:rsidRDefault="00EF3396" w:rsidP="00CB78E5">
      <w:pPr>
        <w:jc w:val="both"/>
        <w:rPr>
          <w:lang w:val="es-ES"/>
        </w:rPr>
      </w:pPr>
    </w:p>
    <w:p w:rsidR="00EF3396" w:rsidRDefault="00EF3396" w:rsidP="00CB78E5">
      <w:pPr>
        <w:jc w:val="both"/>
        <w:rPr>
          <w:lang w:val="es-ES"/>
        </w:rPr>
      </w:pPr>
      <w:r>
        <w:rPr>
          <w:lang w:val="es-ES"/>
        </w:rPr>
        <w:t xml:space="preserve">El artículo se enfoca en analizar el </w:t>
      </w:r>
      <w:proofErr w:type="spellStart"/>
      <w:r>
        <w:rPr>
          <w:lang w:val="es-ES"/>
        </w:rPr>
        <w:t>Carry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. Este es un término que se utiliza cuando es posible endeudarse en una moneda que tiene bajo retorno e invertir en otra que tiene alto retorno, y así pagar la deuda y obtener </w:t>
      </w:r>
      <w:proofErr w:type="spellStart"/>
      <w:r>
        <w:rPr>
          <w:lang w:val="es-ES"/>
        </w:rPr>
        <w:t>profit</w:t>
      </w:r>
      <w:proofErr w:type="spellEnd"/>
      <w:r>
        <w:rPr>
          <w:lang w:val="es-ES"/>
        </w:rPr>
        <w:t>.</w:t>
      </w:r>
    </w:p>
    <w:p w:rsidR="00EF3396" w:rsidRDefault="00EF3396" w:rsidP="00CB78E5">
      <w:pPr>
        <w:jc w:val="both"/>
        <w:rPr>
          <w:lang w:val="es-ES"/>
        </w:rPr>
      </w:pPr>
    </w:p>
    <w:p w:rsidR="00EF3396" w:rsidRDefault="00EF3396" w:rsidP="00CB78E5">
      <w:pPr>
        <w:jc w:val="both"/>
        <w:rPr>
          <w:lang w:val="es-ES"/>
        </w:rPr>
      </w:pPr>
      <w:r>
        <w:rPr>
          <w:lang w:val="es-ES"/>
        </w:rPr>
        <w:t>La paridad de las tasas de interés descubierta es la condición necesaria para que el mercado de divisas esté en equilibrio.</w:t>
      </w:r>
    </w:p>
    <w:p w:rsidR="00EF3396" w:rsidRDefault="00EF3396" w:rsidP="00CB78E5">
      <w:pPr>
        <w:jc w:val="both"/>
        <w:rPr>
          <w:rFonts w:eastAsiaTheme="minorEastAsia"/>
          <w:lang w:val="es-ES"/>
        </w:rPr>
      </w:pPr>
      <w:r>
        <w:rPr>
          <w:lang w:val="es-ES"/>
        </w:rPr>
        <w:t xml:space="preserve">Esta se define como:   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i=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*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s-E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s-ES"/>
                  </w:rPr>
                  <m:t>e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 xml:space="preserve">-E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E</m:t>
            </m:r>
          </m:den>
        </m:f>
      </m:oMath>
      <w:r>
        <w:rPr>
          <w:rFonts w:eastAsiaTheme="minorEastAsia"/>
          <w:sz w:val="32"/>
          <w:szCs w:val="32"/>
          <w:lang w:val="es-ES"/>
        </w:rPr>
        <w:t xml:space="preserve">  </w:t>
      </w:r>
      <w:r>
        <w:rPr>
          <w:rFonts w:eastAsiaTheme="minorEastAsia"/>
          <w:lang w:val="es-ES"/>
        </w:rPr>
        <w:t>siempre y cuando los inversores sólo se preocupen del retorno esperado.</w:t>
      </w:r>
    </w:p>
    <w:p w:rsidR="00EF3396" w:rsidRDefault="00EF3396" w:rsidP="00CB78E5">
      <w:pPr>
        <w:jc w:val="both"/>
        <w:rPr>
          <w:rFonts w:eastAsiaTheme="minorEastAsia"/>
          <w:lang w:val="es-ES"/>
        </w:rPr>
      </w:pPr>
    </w:p>
    <w:p w:rsidR="00EF3396" w:rsidRDefault="00EF3396" w:rsidP="00CB78E5">
      <w:pPr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i</m:t>
        </m:r>
      </m:oMath>
      <w:r>
        <w:rPr>
          <w:lang w:val="es-ES"/>
        </w:rPr>
        <w:t xml:space="preserve"> = tasa de interés doméstica,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*</m:t>
            </m:r>
          </m:sup>
        </m:sSup>
      </m:oMath>
      <w:r>
        <w:rPr>
          <w:lang w:val="es-ES"/>
        </w:rPr>
        <w:t xml:space="preserve"> = tasa de interés extranjera, </w:t>
      </w:r>
      <m:oMath>
        <m:r>
          <w:rPr>
            <w:rFonts w:ascii="Cambria Math" w:hAnsi="Cambria Math"/>
            <w:lang w:val="es-ES"/>
          </w:rPr>
          <m:t>E</m:t>
        </m:r>
      </m:oMath>
      <w:r>
        <w:rPr>
          <w:lang w:val="es-ES"/>
        </w:rPr>
        <w:t xml:space="preserve"> = tipo de cambio,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E</m:t>
            </m:r>
          </m:e>
          <m:sup>
            <m:r>
              <w:rPr>
                <w:rFonts w:ascii="Cambria Math" w:hAnsi="Cambria Math"/>
                <w:lang w:val="es-ES"/>
              </w:rPr>
              <m:t>e</m:t>
            </m:r>
          </m:sup>
        </m:sSup>
      </m:oMath>
      <w:r>
        <w:rPr>
          <w:rFonts w:eastAsiaTheme="minorEastAsia"/>
          <w:lang w:val="es-ES"/>
        </w:rPr>
        <w:t xml:space="preserve"> = tipo de cambio esperado.</w:t>
      </w:r>
    </w:p>
    <w:p w:rsidR="00EF3396" w:rsidRDefault="00EF3396" w:rsidP="00CB78E5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Esta se cumple si se dan las siguientes condiciones:</w:t>
      </w:r>
    </w:p>
    <w:p w:rsidR="00EF3396" w:rsidRDefault="00EF3396" w:rsidP="00CB78E5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existe libre movilidad de capitales</w:t>
      </w:r>
    </w:p>
    <w:p w:rsidR="00EF3396" w:rsidRDefault="00EF3396" w:rsidP="00CB78E5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el riesgo no es un factor importante (agentes neutrales al riesgo)</w:t>
      </w:r>
    </w:p>
    <w:p w:rsidR="00EF3396" w:rsidRDefault="00EF3396" w:rsidP="00CB78E5">
      <w:pPr>
        <w:jc w:val="both"/>
        <w:rPr>
          <w:rFonts w:eastAsiaTheme="minorEastAsia"/>
          <w:lang w:val="es-ES"/>
        </w:rPr>
      </w:pPr>
    </w:p>
    <w:p w:rsidR="00CB78E5" w:rsidRDefault="001B32E3" w:rsidP="00CB78E5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Sin embargo, sabemos que el tipo de cambio puede cambiar inesperadamente y es por esto, que existe la paridad de tasas de interés cubierta.</w:t>
      </w:r>
      <w:r w:rsidR="00CB78E5">
        <w:rPr>
          <w:rFonts w:eastAsiaTheme="minorEastAsia"/>
          <w:lang w:val="es-ES"/>
        </w:rPr>
        <w:t xml:space="preserve"> Donde se “cubre” el riesgo de estos cambios inesperados por medio de Forwards. Por medio de estos, se conoce el tipo de cambio futuro. </w:t>
      </w:r>
    </w:p>
    <w:p w:rsidR="00CB78E5" w:rsidRDefault="00CB78E5" w:rsidP="00CB78E5">
      <w:pPr>
        <w:jc w:val="both"/>
        <w:rPr>
          <w:rFonts w:eastAsiaTheme="minorEastAsia"/>
          <w:lang w:val="es-ES"/>
        </w:rPr>
      </w:pPr>
    </w:p>
    <w:p w:rsidR="00CB78E5" w:rsidRPr="00EF3396" w:rsidRDefault="00CB78E5" w:rsidP="00CB78E5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Esto se define así:      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i=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*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s-E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 xml:space="preserve">F-E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E</m:t>
            </m:r>
          </m:den>
        </m:f>
      </m:oMath>
    </w:p>
    <w:p w:rsidR="00EF3396" w:rsidRDefault="004C52B0" w:rsidP="00EF3396">
      <w:pPr>
        <w:jc w:val="both"/>
        <w:rPr>
          <w:rFonts w:eastAsiaTheme="minorEastAsia"/>
          <w:lang w:val="es-ES"/>
        </w:rPr>
      </w:pPr>
      <w:r>
        <w:rPr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F</m:t>
        </m:r>
      </m:oMath>
      <w:r>
        <w:rPr>
          <w:rFonts w:eastAsiaTheme="minorEastAsia"/>
          <w:lang w:val="es-ES"/>
        </w:rPr>
        <w:t xml:space="preserve"> = Forward, contrato que asegura el tipo de cambio futuro. </w:t>
      </w:r>
    </w:p>
    <w:p w:rsidR="004C52B0" w:rsidRDefault="004C52B0" w:rsidP="00EF3396">
      <w:pPr>
        <w:jc w:val="both"/>
        <w:rPr>
          <w:rFonts w:eastAsiaTheme="minorEastAsia"/>
          <w:lang w:val="es-ES"/>
        </w:rPr>
      </w:pPr>
    </w:p>
    <w:p w:rsidR="004C52B0" w:rsidRDefault="004C52B0" w:rsidP="00EF3396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que se cumpla la CIRP:</w:t>
      </w:r>
    </w:p>
    <w:p w:rsidR="004C52B0" w:rsidRDefault="004C52B0" w:rsidP="004C52B0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Existir mercado de futuros o forwards</w:t>
      </w:r>
    </w:p>
    <w:p w:rsidR="004C52B0" w:rsidRDefault="004C52B0" w:rsidP="004C52B0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Libre movilidad de capitales</w:t>
      </w:r>
    </w:p>
    <w:p w:rsidR="004C52B0" w:rsidRDefault="004C52B0" w:rsidP="004C52B0">
      <w:pPr>
        <w:pStyle w:val="ListParagraph"/>
        <w:ind w:left="1448"/>
        <w:jc w:val="both"/>
        <w:rPr>
          <w:lang w:val="es-ES"/>
        </w:rPr>
      </w:pPr>
    </w:p>
    <w:p w:rsidR="004C52B0" w:rsidRDefault="004C52B0" w:rsidP="004C52B0">
      <w:pPr>
        <w:jc w:val="both"/>
        <w:rPr>
          <w:lang w:val="es-ES"/>
        </w:rPr>
      </w:pPr>
      <w:r>
        <w:rPr>
          <w:lang w:val="es-ES"/>
        </w:rPr>
        <w:t xml:space="preserve">La diferencia entre la CIRP y UIRP es clara y es que la primera cubre el riesgo de los cambios inesperados en el tipo de cambio y la segunda no. </w:t>
      </w:r>
    </w:p>
    <w:p w:rsidR="004C52B0" w:rsidRDefault="004C52B0" w:rsidP="004C52B0">
      <w:pPr>
        <w:jc w:val="both"/>
        <w:rPr>
          <w:lang w:val="es-ES"/>
        </w:rPr>
      </w:pPr>
    </w:p>
    <w:p w:rsidR="004C52B0" w:rsidRPr="00DD7DE5" w:rsidRDefault="004C52B0" w:rsidP="004C52B0">
      <w:pPr>
        <w:jc w:val="both"/>
        <w:rPr>
          <w:lang w:val="es-ES"/>
        </w:rPr>
      </w:pPr>
      <w:r>
        <w:rPr>
          <w:lang w:val="es-ES"/>
        </w:rPr>
        <w:t xml:space="preserve">En el artículo </w:t>
      </w:r>
      <w:r w:rsidR="001B01F0">
        <w:rPr>
          <w:lang w:val="es-ES"/>
        </w:rPr>
        <w:t xml:space="preserve">la que no se cumple es la UIRP. Esto se puede deber y tal como se expone en el artículo, </w:t>
      </w:r>
      <w:r w:rsidR="00DD7DE5">
        <w:rPr>
          <w:lang w:val="es-ES"/>
        </w:rPr>
        <w:t xml:space="preserve">a que los países con altos retornos han tendido a apreciar sus monedas, mientras que las con bajos retornos han tendido a depreciar sus monedas, contrario a lo que debiese ocurrir, ya que, si la tasa doméstica es más alta, 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e</m:t>
            </m:r>
          </m:sup>
        </m:sSup>
      </m:oMath>
      <w:r w:rsidR="00DD7DE5">
        <w:rPr>
          <w:rFonts w:eastAsiaTheme="minorEastAsia"/>
          <w:sz w:val="32"/>
          <w:szCs w:val="32"/>
          <w:lang w:val="es-ES"/>
        </w:rPr>
        <w:t xml:space="preserve"> </w:t>
      </w:r>
      <w:r w:rsidR="00DD7DE5">
        <w:rPr>
          <w:rFonts w:eastAsiaTheme="minorEastAsia"/>
          <w:lang w:val="es-ES"/>
        </w:rPr>
        <w:t>debiese aumentar depreciándose</w:t>
      </w:r>
      <w:r w:rsidR="0026451E">
        <w:rPr>
          <w:rFonts w:eastAsiaTheme="minorEastAsia"/>
          <w:lang w:val="es-ES"/>
        </w:rPr>
        <w:t xml:space="preserve"> la moneda local</w:t>
      </w:r>
      <w:r w:rsidR="00DD7DE5">
        <w:rPr>
          <w:rFonts w:eastAsiaTheme="minorEastAsia"/>
          <w:lang w:val="es-ES"/>
        </w:rPr>
        <w:t xml:space="preserve">, sin embargo, ha ocurrido lo </w:t>
      </w:r>
      <w:r w:rsidR="0026451E">
        <w:rPr>
          <w:rFonts w:eastAsiaTheme="minorEastAsia"/>
          <w:lang w:val="es-ES"/>
        </w:rPr>
        <w:t>contrario.</w:t>
      </w:r>
    </w:p>
    <w:sectPr w:rsidR="004C52B0" w:rsidRPr="00DD7DE5" w:rsidSect="009B3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701"/>
    <w:multiLevelType w:val="hybridMultilevel"/>
    <w:tmpl w:val="D6E46F1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>
    <w:nsid w:val="14E13F0F"/>
    <w:multiLevelType w:val="hybridMultilevel"/>
    <w:tmpl w:val="B07AC4A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6E0E566C"/>
    <w:multiLevelType w:val="multilevel"/>
    <w:tmpl w:val="6FF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96"/>
    <w:rsid w:val="001470C9"/>
    <w:rsid w:val="001B01F0"/>
    <w:rsid w:val="001B32E3"/>
    <w:rsid w:val="0026451E"/>
    <w:rsid w:val="004C52B0"/>
    <w:rsid w:val="005E5B74"/>
    <w:rsid w:val="009B352D"/>
    <w:rsid w:val="00CB78E5"/>
    <w:rsid w:val="00DD7DE5"/>
    <w:rsid w:val="00E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1A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39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EF3396"/>
  </w:style>
  <w:style w:type="character" w:styleId="PlaceholderText">
    <w:name w:val="Placeholder Text"/>
    <w:basedOn w:val="DefaultParagraphFont"/>
    <w:uiPriority w:val="99"/>
    <w:semiHidden/>
    <w:rsid w:val="00EF3396"/>
    <w:rPr>
      <w:color w:val="808080"/>
    </w:rPr>
  </w:style>
  <w:style w:type="paragraph" w:styleId="ListParagraph">
    <w:name w:val="List Paragraph"/>
    <w:basedOn w:val="Normal"/>
    <w:uiPriority w:val="34"/>
    <w:qFormat/>
    <w:rsid w:val="00EF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2017-10-07T03:15:00Z</dcterms:created>
  <dcterms:modified xsi:type="dcterms:W3CDTF">2017-10-07T03:46:00Z</dcterms:modified>
</cp:coreProperties>
</file>