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center"/>
      </w:pPr>
      <w:r>
        <w:rPr>
          <w:rFonts w:ascii="Calibri" w:hAnsi="Calibri"/>
          <w:b/>
          <w:color w:val="0284C7"/>
          <w:sz w:val="44"/>
        </w:rPr>
        <w:t>CARTILHA DE NIVELAMENTO</w:t>
      </w:r>
    </w:p>
    <w:p>
      <w:pPr>
        <w:spacing w:before="0" w:after="560"/>
        <w:jc w:val="center"/>
      </w:pPr>
      <w:r>
        <w:rPr>
          <w:rFonts w:ascii="Calibri" w:hAnsi="Calibri"/>
          <w:i/>
          <w:color w:val="0EA5E9"/>
          <w:sz w:val="24"/>
        </w:rPr>
        <w:t>Módulo de Gestão de Parcerias e Ecossistema TRANSFEREGOV.BR</w:t>
        <w:br/>
        <w:t>Guia Prático para Órgãos Concedentes Federais, Estados, Municípios e OSCs</w:t>
      </w:r>
    </w:p>
    <w:p>
      <w:pPr>
        <w:spacing w:after="480"/>
        <w:jc w:val="center"/>
      </w:pPr>
      <w:r>
        <w:rPr>
          <w:color w:val="E2E8F0"/>
        </w:rPr>
        <w:t>____________________________________________________</w:t>
      </w:r>
    </w:p>
    <w:p>
      <w:pPr>
        <w:keepNext/>
        <w:spacing w:before="320" w:after="160"/>
      </w:pPr>
      <w:r>
        <w:rPr>
          <w:rFonts w:ascii="Calibri" w:hAnsi="Calibri"/>
          <w:b/>
          <w:color w:val="0F172A"/>
          <w:sz w:val="28"/>
        </w:rPr>
        <w:t>1. Sumário Executivo</w:t>
      </w:r>
    </w:p>
    <w:p>
      <w:pPr>
        <w:spacing w:before="0" w:after="160" w:line="276" w:lineRule="auto"/>
      </w:pPr>
      <w:r>
        <w:rPr>
          <w:rFonts w:ascii="Calibri" w:hAnsi="Calibri"/>
          <w:color w:val="334155"/>
          <w:sz w:val="21"/>
        </w:rPr>
        <w:t>A modernização dos repasses de recursos no âmbito federal atinge um marco fundamental com a transição para o modelo de Transferência Simplificada no TRANSFEREGOV. Esta mudança é uma resposta direta à necessidade de conferir celeridade e eficiência à execução de políticas públicas críticas e otimizar as parcerias interfederativas.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shd w:val="clear" w:color="auto" w:fill="F0F9FF"/>
            <w:tcBorders>
              <w:left w:val="single" w:sz="36" w:space="0" w:color="0ea5e9"/>
              <w:top w:val="none"/>
              <w:bottom w:val="none"/>
              <w:right w:val="none"/>
            </w:tcBorders>
            <w:tcMar>
              <w:top w:w="150" w:type="dxa"/>
              <w:bottom w:w="150" w:type="dxa"/>
              <w:left w:w="250" w:type="dxa"/>
              <w:right w:w="20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0F172A"/>
                <w:sz w:val="21"/>
              </w:rPr>
              <w:t>Principais Conclusões:</w:t>
            </w:r>
          </w:p>
          <w:p>
            <w:pPr>
              <w:spacing w:before="80" w:after="80" w:line="276" w:lineRule="auto"/>
            </w:pPr>
            <w:r>
              <w:rPr>
                <w:rFonts w:ascii="Calibri" w:hAnsi="Calibri"/>
                <w:color w:val="3C3C3C"/>
                <w:sz w:val="20"/>
              </w:rPr>
              <w:t>• Ruptura de Paradigma: Dispensa convênios ou instrumentos complexos ex-ante.</w:t>
            </w:r>
          </w:p>
          <w:p>
            <w:pPr>
              <w:spacing w:before="80" w:after="80" w:line="276" w:lineRule="auto"/>
            </w:pPr>
            <w:r>
              <w:rPr>
                <w:rFonts w:ascii="Calibri" w:hAnsi="Calibri"/>
                <w:color w:val="3C3C3C"/>
                <w:sz w:val="20"/>
              </w:rPr>
              <w:t>• Padronização Técnica: Utiliza metas pré-configuradas no sistema do Módulo de Gestão de Parcerias.</w:t>
            </w:r>
          </w:p>
          <w:p>
            <w:pPr>
              <w:spacing w:before="80" w:after="80" w:line="276" w:lineRule="auto"/>
            </w:pPr>
            <w:r>
              <w:rPr>
                <w:rFonts w:ascii="Calibri" w:hAnsi="Calibri"/>
                <w:color w:val="3C3C3C"/>
                <w:sz w:val="20"/>
              </w:rPr>
              <w:t>• Solução de Estrutura Organizacional: Uso do SIORG 267384 (Depto. de Gestão de Fundos) para mapeamento administrativo.</w:t>
            </w:r>
          </w:p>
          <w:p>
            <w:pPr>
              <w:spacing w:before="80" w:after="80" w:line="276" w:lineRule="auto"/>
            </w:pPr>
            <w:r>
              <w:rPr>
                <w:rFonts w:ascii="Calibri" w:hAnsi="Calibri"/>
                <w:color w:val="3C3C3C"/>
                <w:sz w:val="20"/>
              </w:rPr>
              <w:t>• Gestão de Riscos Diferenciada: Regras de exceção (como defeso eleitoral) parametrizadas por política pública.</w:t>
            </w:r>
          </w:p>
          <w:p>
            <w:pPr>
              <w:spacing w:before="80" w:after="80" w:line="276" w:lineRule="auto"/>
            </w:pPr>
            <w:r>
              <w:rPr>
                <w:rFonts w:ascii="Calibri" w:hAnsi="Calibri"/>
                <w:color w:val="3C3C3C"/>
                <w:sz w:val="20"/>
              </w:rPr>
              <w:t>• Rastreabilidade Financeira: Integração com SIAFI para abertura automática de contas bancárias.</w:t>
            </w:r>
          </w:p>
        </w:tc>
      </w:tr>
    </w:tbl>
    <w:p>
      <w:pPr>
        <w:spacing w:before="120" w:after="120"/>
      </w:pPr>
    </w:p>
    <w:p>
      <w:pPr>
        <w:keepNext/>
        <w:spacing w:before="320" w:after="160"/>
      </w:pPr>
      <w:r>
        <w:rPr>
          <w:rFonts w:ascii="Calibri" w:hAnsi="Calibri"/>
          <w:b/>
          <w:color w:val="0F172A"/>
          <w:sz w:val="28"/>
        </w:rPr>
        <w:t>2. Contexto Institucional e Base Normativa</w:t>
      </w:r>
    </w:p>
    <w:p>
      <w:pPr>
        <w:spacing w:before="0" w:after="160" w:line="276" w:lineRule="auto"/>
      </w:pPr>
      <w:r>
        <w:rPr>
          <w:rFonts w:ascii="Calibri" w:hAnsi="Calibri"/>
          <w:color w:val="334155"/>
          <w:sz w:val="21"/>
        </w:rPr>
        <w:t>A implementação desta nova modalidade é sustentada pelo Acordo de Cooperação Técnica (ACT) firmado entre o MGI e os órgãos federais parceiros. Este acordo formaliza o suporte do órgão central para a internalização de políticas finalísticas no ecossistema digital de transferências da União.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shd w:val="clear" w:color="auto" w:fill="F0FDF4"/>
            <w:tcBorders>
              <w:left w:val="single" w:sz="36" w:space="0" w:color="10b981"/>
              <w:top w:val="none"/>
              <w:bottom w:val="none"/>
              <w:right w:val="none"/>
            </w:tcBorders>
            <w:tcMar>
              <w:top w:w="150" w:type="dxa"/>
              <w:bottom w:w="150" w:type="dxa"/>
              <w:left w:w="250" w:type="dxa"/>
              <w:right w:w="20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0F172A"/>
                <w:sz w:val="21"/>
              </w:rPr>
              <w:t>Divisão de Responsabilidades:</w:t>
            </w:r>
          </w:p>
          <w:p>
            <w:pPr>
              <w:spacing w:before="80" w:after="80" w:line="276" w:lineRule="auto"/>
            </w:pPr>
            <w:r>
              <w:rPr>
                <w:rFonts w:ascii="Calibri" w:hAnsi="Calibri"/>
                <w:color w:val="3C3C3C"/>
                <w:sz w:val="20"/>
              </w:rPr>
              <w:t>Papel do MGI: Gestor central da Plataforma TRANSFEREGOV, provedor da infraestrutura técnica e do marco regulatório. Assegura conformidade legal e governança sistêmica.</w:t>
            </w:r>
          </w:p>
          <w:p>
            <w:pPr>
              <w:spacing w:before="80" w:after="80" w:line="276" w:lineRule="auto"/>
            </w:pPr>
            <w:r>
              <w:rPr>
                <w:rFonts w:ascii="Calibri" w:hAnsi="Calibri"/>
                <w:color w:val="3C3C3C"/>
                <w:sz w:val="20"/>
              </w:rPr>
              <w:t>Papel dos Órgãos Parceiros: Autonomia total na gestão dos recursos de seus fundos, na definição das regras de negócio de suas políticas finalísticas e homologação de metas.</w:t>
            </w:r>
          </w:p>
        </w:tc>
      </w:tr>
    </w:tbl>
    <w:p>
      <w:pPr>
        <w:spacing w:before="120" w:after="120"/>
      </w:pPr>
    </w:p>
    <w:p>
      <w:pPr>
        <w:keepNext/>
        <w:spacing w:before="320" w:after="160"/>
      </w:pPr>
      <w:r>
        <w:rPr>
          <w:rFonts w:ascii="Calibri" w:hAnsi="Calibri"/>
          <w:b/>
          <w:color w:val="0F172A"/>
          <w:sz w:val="28"/>
        </w:rPr>
        <w:t>3. Arquitetura Técnica do TRANSFEREGOV</w:t>
      </w:r>
    </w:p>
    <w:p>
      <w:pPr>
        <w:spacing w:before="0" w:after="160" w:line="276" w:lineRule="auto"/>
      </w:pPr>
      <w:r>
        <w:rPr>
          <w:rFonts w:ascii="Calibri" w:hAnsi="Calibri"/>
          <w:color w:val="334155"/>
          <w:sz w:val="21"/>
        </w:rPr>
        <w:t>A robustez sistêmica do TRANSFEREGOV assegura a integridade dos recursos. A arquitetura de desenvolvimento e execução é subdividida em três ambientes bem definidos: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Ambiente</w:t>
            </w:r>
          </w:p>
        </w:tc>
        <w:tc>
          <w:tcPr>
            <w:tcW w:type="dxa" w:w="4680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Descrição e Finalidade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pPr>
              <w:jc w:val="center"/>
            </w:pPr>
            <w:r>
              <w:rPr>
                <w:b/>
                <w:sz w:val="19"/>
              </w:rPr>
              <w:t>1. Treinamento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  <w:t>Simulação e sandbox para capacitação de técnicos locais sem risco fiscal ou transações reais.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pPr>
              <w:jc w:val="center"/>
            </w:pPr>
            <w:r>
              <w:rPr>
                <w:b/>
                <w:sz w:val="19"/>
              </w:rPr>
              <w:t>2. Homologação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  <w:t>Testes de integração bancária via API e validações finais de layouts antes da implantação.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pPr>
              <w:jc w:val="center"/>
            </w:pPr>
            <w:r>
              <w:rPr>
                <w:b/>
                <w:sz w:val="19"/>
              </w:rPr>
              <w:t>3. Produção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9"/>
              </w:rPr>
              <w:t>Execução oficial e jurídica. Repasses efetivos, empenhos e monitoramento de metas.</w:t>
            </w:r>
          </w:p>
        </w:tc>
      </w:tr>
    </w:tbl>
    <w:p>
      <w:pPr>
        <w:spacing w:before="120"/>
      </w:pPr>
    </w:p>
    <w:p>
      <w:pPr>
        <w:spacing w:before="0" w:after="160" w:line="276" w:lineRule="auto"/>
      </w:pPr>
      <w:r>
        <w:rPr>
          <w:rFonts w:ascii="Calibri" w:hAnsi="Calibri"/>
          <w:color w:val="334155"/>
          <w:sz w:val="21"/>
        </w:rPr>
        <w:t>Solução Técnica SIORG: Para contornar eventuais ausências de um código de Unidade Gestora próprio, a arquitetura utiliza o SIORG do Departamento de Gestão de Fundos e de Recursos Externos (267384).</w:t>
      </w:r>
    </w:p>
    <w:p>
      <w:pPr>
        <w:keepNext/>
        <w:spacing w:before="320" w:after="160"/>
      </w:pPr>
      <w:r>
        <w:rPr>
          <w:rFonts w:ascii="Calibri" w:hAnsi="Calibri"/>
          <w:b/>
          <w:color w:val="0F172A"/>
          <w:sz w:val="28"/>
        </w:rPr>
        <w:t>4. Parametrização por Política Pública</w:t>
      </w:r>
    </w:p>
    <w:p>
      <w:pPr>
        <w:spacing w:before="0" w:after="160" w:line="276" w:lineRule="auto"/>
      </w:pPr>
      <w:r>
        <w:rPr>
          <w:rFonts w:ascii="Calibri" w:hAnsi="Calibri"/>
          <w:color w:val="334155"/>
          <w:sz w:val="21"/>
        </w:rPr>
        <w:t>O Módulo de Gestão de Parcerias do TRANSFEREGOV adapta-se às particularidades das diversas políticas públicas por meio de parametrização no sistema:</w:t>
      </w:r>
    </w:p>
    <w:p>
      <w:pPr>
        <w:keepNext/>
        <w:spacing w:before="240" w:after="120"/>
      </w:pPr>
      <w:r>
        <w:rPr>
          <w:rFonts w:ascii="Calibri" w:hAnsi="Calibri"/>
          <w:b/>
          <w:color w:val="0369A1"/>
          <w:sz w:val="23"/>
        </w:rPr>
        <w:t>1. Requisitos de Habilitação</w:t>
      </w:r>
    </w:p>
    <w:p>
      <w:pPr>
        <w:spacing w:before="0" w:after="160" w:line="276" w:lineRule="auto"/>
      </w:pPr>
      <w:r>
        <w:rPr>
          <w:rFonts w:ascii="Calibri" w:hAnsi="Calibri"/>
          <w:color w:val="334155"/>
          <w:sz w:val="21"/>
        </w:rPr>
        <w:t>Configuração automatizada de critérios fiscais, jurídicos e técnicos que os entes devem cumprir eletronicamente.</w:t>
      </w:r>
    </w:p>
    <w:p>
      <w:pPr>
        <w:keepNext/>
        <w:spacing w:before="240" w:after="120"/>
      </w:pPr>
      <w:r>
        <w:rPr>
          <w:rFonts w:ascii="Calibri" w:hAnsi="Calibri"/>
          <w:b/>
          <w:color w:val="0369A1"/>
          <w:sz w:val="23"/>
        </w:rPr>
        <w:t>2. Anexos e Documentos Customizados</w:t>
      </w:r>
    </w:p>
    <w:p>
      <w:pPr>
        <w:spacing w:before="0" w:after="160" w:line="276" w:lineRule="auto"/>
      </w:pPr>
      <w:r>
        <w:rPr>
          <w:rFonts w:ascii="Calibri" w:hAnsi="Calibri"/>
          <w:color w:val="334155"/>
          <w:sz w:val="21"/>
        </w:rPr>
        <w:t>Possibilidade de limitar a adesão apenas a proponentes que anexarem planos setoriais específicos (ex: planos de contingência, declarações clínicas).</w:t>
      </w:r>
    </w:p>
    <w:p>
      <w:pPr>
        <w:keepNext/>
        <w:spacing w:before="240" w:after="120"/>
      </w:pPr>
      <w:r>
        <w:rPr>
          <w:rFonts w:ascii="Calibri" w:hAnsi="Calibri"/>
          <w:b/>
          <w:color w:val="0369A1"/>
          <w:sz w:val="23"/>
        </w:rPr>
        <w:t>3. Metas Padronizadas</w:t>
      </w:r>
    </w:p>
    <w:p>
      <w:pPr>
        <w:spacing w:before="0" w:after="160" w:line="276" w:lineRule="auto"/>
      </w:pPr>
      <w:r>
        <w:rPr>
          <w:rFonts w:ascii="Calibri" w:hAnsi="Calibri"/>
          <w:color w:val="334155"/>
          <w:sz w:val="21"/>
        </w:rPr>
        <w:t>Conjunto de objetivos de entrega física e quantificável pré-configurados para a rápida adesão dos estados e municípios.</w:t>
      </w:r>
    </w:p>
    <w:p>
      <w:pPr>
        <w:keepNext/>
        <w:spacing w:before="320" w:after="160"/>
      </w:pPr>
      <w:r>
        <w:rPr>
          <w:rFonts w:ascii="Calibri" w:hAnsi="Calibri"/>
          <w:b/>
          <w:color w:val="0F172A"/>
          <w:sz w:val="28"/>
        </w:rPr>
        <w:t>5. Ordem de Pagamento de Parcerias (OPP)</w:t>
      </w:r>
    </w:p>
    <w:p>
      <w:pPr>
        <w:spacing w:before="0" w:after="160" w:line="276" w:lineRule="auto"/>
      </w:pPr>
      <w:r>
        <w:rPr>
          <w:rFonts w:ascii="Calibri" w:hAnsi="Calibri"/>
          <w:color w:val="334155"/>
          <w:sz w:val="21"/>
        </w:rPr>
        <w:t>A Ordem de Pagamento de Parcerias (OPP) representa a automação definitiva do ciclo de execução financeira no Módulo de Gestão de Parcerias do TRANSFEREGOV. Ela desburocratiza e assegura o fluxo de recursos públicos federais:</w:t>
      </w:r>
    </w:p>
    <w:p>
      <w:pPr>
        <w:keepNext/>
        <w:spacing w:before="240" w:after="120"/>
      </w:pPr>
      <w:r>
        <w:rPr>
          <w:rFonts w:ascii="Calibri" w:hAnsi="Calibri"/>
          <w:b/>
          <w:color w:val="0369A1"/>
          <w:sz w:val="23"/>
        </w:rPr>
        <w:t>⚡ Tempo Real via API</w:t>
      </w:r>
    </w:p>
    <w:p>
      <w:pPr>
        <w:spacing w:before="0" w:after="160" w:line="276" w:lineRule="auto"/>
      </w:pPr>
      <w:r>
        <w:rPr>
          <w:rFonts w:ascii="Calibri" w:hAnsi="Calibri"/>
          <w:color w:val="334155"/>
          <w:sz w:val="21"/>
        </w:rPr>
        <w:t>Integração nativa com BB, Caixa e BNB, eliminando o processamento em lote (batch).</w:t>
      </w:r>
    </w:p>
    <w:p>
      <w:pPr>
        <w:keepNext/>
        <w:spacing w:before="240" w:after="120"/>
      </w:pPr>
      <w:r>
        <w:rPr>
          <w:rFonts w:ascii="Calibri" w:hAnsi="Calibri"/>
          <w:b/>
          <w:color w:val="0369A1"/>
          <w:sz w:val="23"/>
        </w:rPr>
        <w:t>🛡️ Dupla Assinatura</w:t>
      </w:r>
    </w:p>
    <w:p>
      <w:pPr>
        <w:spacing w:before="0" w:after="160" w:line="276" w:lineRule="auto"/>
      </w:pPr>
      <w:r>
        <w:rPr>
          <w:rFonts w:ascii="Calibri" w:hAnsi="Calibri"/>
          <w:color w:val="334155"/>
          <w:sz w:val="21"/>
        </w:rPr>
        <w:t>Assinatura eletrônica em dupla autenticação (Operador/Gestor) via Gov.br Ouro.</w:t>
      </w:r>
    </w:p>
    <w:p>
      <w:pPr>
        <w:keepNext/>
        <w:spacing w:before="240" w:after="120"/>
      </w:pPr>
      <w:r>
        <w:rPr>
          <w:rFonts w:ascii="Calibri" w:hAnsi="Calibri"/>
          <w:b/>
          <w:color w:val="0369A1"/>
          <w:sz w:val="23"/>
        </w:rPr>
        <w:t>📱 Pix e QR Code</w:t>
      </w:r>
    </w:p>
    <w:p>
      <w:pPr>
        <w:spacing w:before="0" w:after="160" w:line="276" w:lineRule="auto"/>
      </w:pPr>
      <w:r>
        <w:rPr>
          <w:rFonts w:ascii="Calibri" w:hAnsi="Calibri"/>
          <w:color w:val="334155"/>
          <w:sz w:val="21"/>
        </w:rPr>
        <w:t>Quitação direta de fornecedores locais na ponta sem saques intermediários.</w:t>
      </w:r>
    </w:p>
    <w:p>
      <w:pPr>
        <w:keepNext/>
        <w:spacing w:before="240" w:after="120"/>
      </w:pPr>
      <w:r>
        <w:rPr>
          <w:rFonts w:ascii="Calibri" w:hAnsi="Calibri"/>
          <w:b/>
          <w:color w:val="0369A1"/>
          <w:sz w:val="23"/>
        </w:rPr>
        <w:t>⚙️ Controle Ativo</w:t>
      </w:r>
    </w:p>
    <w:p>
      <w:pPr>
        <w:spacing w:before="0" w:after="160" w:line="276" w:lineRule="auto"/>
      </w:pPr>
      <w:r>
        <w:rPr>
          <w:rFonts w:ascii="Calibri" w:hAnsi="Calibri"/>
          <w:color w:val="334155"/>
          <w:sz w:val="21"/>
        </w:rPr>
        <w:t>Bloqueio e desbloqueio remoto de contas bancárias pelo órgão concedente.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shd w:val="clear" w:color="auto" w:fill="FFFDF0"/>
            <w:tcBorders>
              <w:left w:val="single" w:sz="36" w:space="0" w:color="f59e0b"/>
              <w:top w:val="none"/>
              <w:bottom w:val="none"/>
              <w:right w:val="none"/>
            </w:tcBorders>
            <w:tcMar>
              <w:top w:w="150" w:type="dxa"/>
              <w:bottom w:w="150" w:type="dxa"/>
              <w:left w:w="250" w:type="dxa"/>
              <w:right w:w="20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0F172A"/>
                <w:sz w:val="21"/>
              </w:rPr>
              <w:t>Ficha Técnica Operacional:</w:t>
            </w:r>
          </w:p>
          <w:p>
            <w:pPr>
              <w:spacing w:before="80" w:after="80" w:line="276" w:lineRule="auto"/>
            </w:pPr>
            <w:r>
              <w:rPr>
                <w:rFonts w:ascii="Calibri" w:hAnsi="Calibri"/>
                <w:color w:val="3C3C3C"/>
                <w:sz w:val="20"/>
              </w:rPr>
              <w:t>Ficha Técnica e Prazos: Abertura de conta via API bancária em 3 a 5 segundos; Janela de operação das 07h às 19h30; transações via Pix sem teto de valor.</w:t>
            </w:r>
          </w:p>
        </w:tc>
      </w:tr>
    </w:tbl>
    <w:p>
      <w:pPr>
        <w:spacing w:before="120" w:after="120"/>
      </w:pPr>
    </w:p>
    <w:p>
      <w:pPr>
        <w:keepNext/>
        <w:spacing w:before="320" w:after="160"/>
      </w:pPr>
      <w:r>
        <w:rPr>
          <w:rFonts w:ascii="Calibri" w:hAnsi="Calibri"/>
          <w:b/>
          <w:color w:val="0F172A"/>
          <w:sz w:val="28"/>
        </w:rPr>
        <w:t>6. Jornada da Transferência</w:t>
      </w:r>
    </w:p>
    <w:p>
      <w:pPr>
        <w:spacing w:before="0" w:after="160" w:line="276" w:lineRule="auto"/>
      </w:pPr>
      <w:r>
        <w:rPr>
          <w:rFonts w:ascii="Calibri" w:hAnsi="Calibri"/>
          <w:color w:val="334155"/>
          <w:sz w:val="21"/>
        </w:rPr>
        <w:t>O fluxo lógico simplificado é estruturado em etapas claras que substituem a burocracia documental tradicional por validações diretas:</w:t>
      </w:r>
    </w:p>
    <w:p>
      <w:pPr>
        <w:spacing w:before="0" w:after="160" w:line="276" w:lineRule="auto"/>
      </w:pPr>
      <w:r>
        <w:rPr>
          <w:rFonts w:ascii="Calibri" w:hAnsi="Calibri"/>
          <w:color w:val="334155"/>
          <w:sz w:val="21"/>
        </w:rPr>
        <w:t>• 01. Convocatória: Cadastro das regras e metas no sistema pelo órgão concedente.</w:t>
      </w:r>
    </w:p>
    <w:p>
      <w:pPr>
        <w:spacing w:before="0" w:after="160" w:line="276" w:lineRule="auto"/>
      </w:pPr>
      <w:r>
        <w:rPr>
          <w:rFonts w:ascii="Calibri" w:hAnsi="Calibri"/>
          <w:color w:val="334155"/>
          <w:sz w:val="21"/>
        </w:rPr>
        <w:t>• 02. Manifestação de Interesse: Adesão digital rápida e sem burocracia pelo ente parceiro.</w:t>
      </w:r>
    </w:p>
    <w:p>
      <w:pPr>
        <w:spacing w:before="0" w:after="160" w:line="276" w:lineRule="auto"/>
      </w:pPr>
      <w:r>
        <w:rPr>
          <w:rFonts w:ascii="Calibri" w:hAnsi="Calibri"/>
          <w:color w:val="334155"/>
          <w:sz w:val="21"/>
        </w:rPr>
        <w:t>• 03. Validação Técnica: Avaliação expedita e verificação dos critérios automatizados.</w:t>
      </w:r>
    </w:p>
    <w:p>
      <w:pPr>
        <w:spacing w:before="0" w:after="160" w:line="276" w:lineRule="auto"/>
      </w:pPr>
      <w:r>
        <w:rPr>
          <w:rFonts w:ascii="Calibri" w:hAnsi="Calibri"/>
          <w:color w:val="334155"/>
          <w:sz w:val="21"/>
        </w:rPr>
        <w:t>• 04. Empenho e Desembolso: Abertura automática de conta e execução via SIAFI.</w:t>
      </w:r>
    </w:p>
    <w:p>
      <w:pPr>
        <w:spacing w:before="0" w:after="160" w:line="276" w:lineRule="auto"/>
      </w:pPr>
      <w:r>
        <w:rPr>
          <w:rFonts w:ascii="Calibri" w:hAnsi="Calibri"/>
          <w:color w:val="334155"/>
          <w:sz w:val="21"/>
        </w:rPr>
        <w:t>• 05. Execução e Monitoramento: Comprovação das metas físicas no próprio TRANSFEREGOV.</w:t>
      </w:r>
    </w:p>
    <w:p>
      <w:pPr>
        <w:keepNext/>
        <w:spacing w:before="320" w:after="160"/>
      </w:pPr>
      <w:r>
        <w:rPr>
          <w:rFonts w:ascii="Calibri" w:hAnsi="Calibri"/>
          <w:b/>
          <w:color w:val="0F172A"/>
          <w:sz w:val="28"/>
        </w:rPr>
        <w:t>7. Dúvidas Operacionais (FAQ)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shd w:val="clear" w:color="auto" w:fill="F0F9FF"/>
            <w:tcBorders>
              <w:left w:val="single" w:sz="36" w:space="0" w:color="0284c7"/>
              <w:top w:val="none"/>
              <w:bottom w:val="none"/>
              <w:right w:val="none"/>
            </w:tcBorders>
            <w:tcMar>
              <w:top w:w="150" w:type="dxa"/>
              <w:bottom w:w="150" w:type="dxa"/>
              <w:left w:w="250" w:type="dxa"/>
              <w:right w:w="20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0F172A"/>
                <w:sz w:val="21"/>
              </w:rPr>
              <w:t>❓ Como funciona o processo de adesão ao Módulo de Gestão de Parcerias no TRANSFEREGOV?</w:t>
            </w:r>
          </w:p>
          <w:p>
            <w:pPr>
              <w:spacing w:before="80" w:after="80" w:line="276" w:lineRule="auto"/>
            </w:pPr>
            <w:r>
              <w:rPr>
                <w:rFonts w:ascii="Calibri" w:hAnsi="Calibri"/>
                <w:color w:val="3C3C3C"/>
                <w:sz w:val="20"/>
              </w:rPr>
              <w:t>O processo de adesão é 100% eletrônico. O Ente federado (Estado ou Município) localiza a chamada pública de seu interesse no TRANSFEREGOV e manifesta interesse aderindo diretamente pelo sistema, preenchendo as informações solicitadas e assinando digitalmente o termo.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shd w:val="clear" w:color="auto" w:fill="F0F9FF"/>
            <w:tcBorders>
              <w:left w:val="single" w:sz="36" w:space="0" w:color="0284c7"/>
              <w:top w:val="none"/>
              <w:bottom w:val="none"/>
              <w:right w:val="none"/>
            </w:tcBorders>
            <w:tcMar>
              <w:top w:w="150" w:type="dxa"/>
              <w:bottom w:w="150" w:type="dxa"/>
              <w:left w:w="250" w:type="dxa"/>
              <w:right w:w="20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0F172A"/>
                <w:sz w:val="21"/>
              </w:rPr>
              <w:t>❓ O que é a parametrização das políticas públicas?</w:t>
            </w:r>
          </w:p>
          <w:p>
            <w:pPr>
              <w:spacing w:before="80" w:after="80" w:line="276" w:lineRule="auto"/>
            </w:pPr>
            <w:r>
              <w:rPr>
                <w:rFonts w:ascii="Calibri" w:hAnsi="Calibri"/>
                <w:color w:val="3C3C3C"/>
                <w:sz w:val="20"/>
              </w:rPr>
              <w:t>É a flexibilidade dada aos órgãos federais concedentes para predefinir as regras de negócio, metas padronizadas e documentos obrigatórios para cada programa finalístico de repasse, adaptando o sistema às demandas específicas de cada setor.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shd w:val="clear" w:color="auto" w:fill="F0F9FF"/>
            <w:tcBorders>
              <w:left w:val="single" w:sz="36" w:space="0" w:color="0284c7"/>
              <w:top w:val="none"/>
              <w:bottom w:val="none"/>
              <w:right w:val="none"/>
            </w:tcBorders>
            <w:tcMar>
              <w:top w:w="150" w:type="dxa"/>
              <w:bottom w:w="150" w:type="dxa"/>
              <w:left w:w="250" w:type="dxa"/>
              <w:right w:w="20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0F172A"/>
                <w:sz w:val="21"/>
              </w:rPr>
              <w:t>❓ Qual o papel do ambiente de Treinamento?</w:t>
            </w:r>
          </w:p>
          <w:p>
            <w:pPr>
              <w:spacing w:before="80" w:after="80" w:line="276" w:lineRule="auto"/>
            </w:pPr>
            <w:r>
              <w:rPr>
                <w:rFonts w:ascii="Calibri" w:hAnsi="Calibri"/>
                <w:color w:val="3C3C3C"/>
                <w:sz w:val="20"/>
              </w:rPr>
              <w:t>Ele funciona como um simulador (sandbox) isolado, permitindo que as equipes técnicas de estados e municípios simulem a parametrização, adesão, empenho e prestação de contas de forma prática e 100% segura, sem risco de gerar obrigações financeiras reais.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shd w:val="clear" w:color="auto" w:fill="F0F9FF"/>
            <w:tcBorders>
              <w:left w:val="single" w:sz="36" w:space="0" w:color="0284c7"/>
              <w:top w:val="none"/>
              <w:bottom w:val="none"/>
              <w:right w:val="none"/>
            </w:tcBorders>
            <w:tcMar>
              <w:top w:w="150" w:type="dxa"/>
              <w:bottom w:w="150" w:type="dxa"/>
              <w:left w:w="250" w:type="dxa"/>
              <w:right w:w="20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0F172A"/>
                <w:sz w:val="21"/>
              </w:rPr>
              <w:t>❓ Quais são os principais benefícios de uso deste modelo?</w:t>
            </w:r>
          </w:p>
          <w:p>
            <w:pPr>
              <w:spacing w:before="80" w:after="80" w:line="276" w:lineRule="auto"/>
            </w:pPr>
            <w:r>
              <w:rPr>
                <w:rFonts w:ascii="Calibri" w:hAnsi="Calibri"/>
                <w:color w:val="3C3C3C"/>
                <w:sz w:val="20"/>
              </w:rPr>
              <w:t>Desburocratização extrema (eliminação dos convênios clássicos), celeridade operacional com empenho automático via SIAFI, foco nos resultados físicos entregues em vez de controle processual, e total transparência ativa e rastreabilidade dos recursos federais.</w:t>
            </w:r>
          </w:p>
        </w:tc>
      </w:tr>
    </w:tbl>
    <w:p>
      <w:pPr>
        <w:spacing w:before="120" w:after="120"/>
      </w:pPr>
    </w:p>
    <w:p>
      <w:pPr>
        <w:keepNext/>
        <w:spacing w:before="320" w:after="160"/>
      </w:pPr>
      <w:r>
        <w:rPr>
          <w:rFonts w:ascii="Calibri" w:hAnsi="Calibri"/>
          <w:b/>
          <w:color w:val="0F172A"/>
          <w:sz w:val="28"/>
        </w:rPr>
        <w:t>8. Pontos de Atenção e Riscos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shd w:val="clear" w:color="auto" w:fill="FEF2F2"/>
            <w:tcBorders>
              <w:left w:val="single" w:sz="36" w:space="0" w:color="ef4444"/>
              <w:top w:val="none"/>
              <w:bottom w:val="none"/>
              <w:right w:val="none"/>
            </w:tcBorders>
            <w:tcMar>
              <w:top w:w="150" w:type="dxa"/>
              <w:bottom w:w="150" w:type="dxa"/>
              <w:left w:w="250" w:type="dxa"/>
              <w:right w:w="20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0F172A"/>
                <w:sz w:val="21"/>
              </w:rPr>
              <w:t>⚠️ Sintoma do Convênio</w:t>
            </w:r>
          </w:p>
          <w:p>
            <w:pPr>
              <w:spacing w:before="80" w:after="80" w:line="276" w:lineRule="auto"/>
            </w:pPr>
            <w:r>
              <w:rPr>
                <w:rFonts w:ascii="Calibri" w:hAnsi="Calibri"/>
                <w:color w:val="3C3C3C"/>
                <w:sz w:val="20"/>
              </w:rPr>
              <w:t>Resistência técnica e cultural em desapegar dos procedimentos analíticos tradicionais, exigindo documentos manuais densos que desfiguram a celeridade das Transferências Simplificadas.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shd w:val="clear" w:color="auto" w:fill="FEF2F2"/>
            <w:tcBorders>
              <w:left w:val="single" w:sz="36" w:space="0" w:color="ef4444"/>
              <w:top w:val="none"/>
              <w:bottom w:val="none"/>
              <w:right w:val="none"/>
            </w:tcBorders>
            <w:tcMar>
              <w:top w:w="150" w:type="dxa"/>
              <w:bottom w:w="150" w:type="dxa"/>
              <w:left w:w="250" w:type="dxa"/>
              <w:right w:w="20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0F172A"/>
                <w:sz w:val="21"/>
              </w:rPr>
              <w:t>⚠️ Defeso Eleitoral Ordinário</w:t>
            </w:r>
          </w:p>
          <w:p>
            <w:pPr>
              <w:spacing w:before="80" w:after="80" w:line="276" w:lineRule="auto"/>
            </w:pPr>
            <w:r>
              <w:rPr>
                <w:rFonts w:ascii="Calibri" w:hAnsi="Calibri"/>
                <w:color w:val="3C3C3C"/>
                <w:sz w:val="20"/>
              </w:rPr>
              <w:t>Observância rígida de prazos legais. Note que o programa Prévfogo possui exceções normativas regulamentadas por portaria de emergência orçamentária; já programas como o Propatinhas devem respeitar as vedações ordinárias.</w:t>
            </w:r>
          </w:p>
        </w:tc>
      </w:tr>
    </w:tbl>
    <w:p>
      <w:pPr>
        <w:spacing w:before="120" w:after="120"/>
      </w:pPr>
    </w:p>
    <w:p>
      <w:pPr>
        <w:keepNext/>
        <w:spacing w:before="320" w:after="160"/>
      </w:pPr>
      <w:r>
        <w:rPr>
          <w:rFonts w:ascii="Calibri" w:hAnsi="Calibri"/>
          <w:b/>
          <w:color w:val="0F172A"/>
          <w:sz w:val="28"/>
        </w:rPr>
        <w:t>9. Boas Práticas Operacionais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shd w:val="clear" w:color="auto" w:fill="F0FDF4"/>
            <w:tcBorders>
              <w:left w:val="single" w:sz="36" w:space="0" w:color="10b981"/>
              <w:top w:val="none"/>
              <w:bottom w:val="none"/>
              <w:right w:val="none"/>
            </w:tcBorders>
            <w:tcMar>
              <w:top w:w="150" w:type="dxa"/>
              <w:bottom w:w="150" w:type="dxa"/>
              <w:left w:w="250" w:type="dxa"/>
              <w:right w:w="20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0F172A"/>
                <w:sz w:val="21"/>
              </w:rPr>
              <w:t>✅ Acesso Livre e Sandbox</w:t>
            </w:r>
          </w:p>
          <w:p>
            <w:pPr>
              <w:spacing w:before="80" w:after="80" w:line="276" w:lineRule="auto"/>
            </w:pPr>
            <w:r>
              <w:rPr>
                <w:rFonts w:ascii="Calibri" w:hAnsi="Calibri"/>
                <w:color w:val="3C3C3C"/>
                <w:sz w:val="20"/>
              </w:rPr>
              <w:t>Utilizar o módulo no ambiente de treinamento sem necessidade de certificado digital imediato para simular 90% das telas e parametrizações sem qualquer risco fiscal.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352"/>
            <w:shd w:val="clear" w:color="auto" w:fill="F0FDF4"/>
            <w:tcBorders>
              <w:left w:val="single" w:sz="36" w:space="0" w:color="10b981"/>
              <w:top w:val="none"/>
              <w:bottom w:val="none"/>
              <w:right w:val="none"/>
            </w:tcBorders>
            <w:tcMar>
              <w:top w:w="150" w:type="dxa"/>
              <w:bottom w:w="150" w:type="dxa"/>
              <w:left w:w="250" w:type="dxa"/>
              <w:right w:w="20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0F172A"/>
                <w:sz w:val="21"/>
              </w:rPr>
              <w:t>✅ Diálogo Técnico Permanente</w:t>
            </w:r>
          </w:p>
          <w:p>
            <w:pPr>
              <w:spacing w:before="80" w:after="80" w:line="276" w:lineRule="auto"/>
            </w:pPr>
            <w:r>
              <w:rPr>
                <w:rFonts w:ascii="Calibri" w:hAnsi="Calibri"/>
                <w:color w:val="3C3C3C"/>
                <w:sz w:val="20"/>
              </w:rPr>
              <w:t>Centralizar discussões operacionais de parametrização e regras de negócio em fóruns específicos e canais integrados para dirimir dúvidas das equipes executoras com agilidade.</w:t>
            </w:r>
          </w:p>
        </w:tc>
      </w:tr>
    </w:tbl>
    <w:p>
      <w:pPr>
        <w:spacing w:before="12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