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160"/>
        <w:jc w:val="center"/>
      </w:pPr>
      <w:r>
        <w:rPr>
          <w:rFonts w:ascii="Calibri" w:hAnsi="Calibri"/>
          <w:b/>
          <w:color w:val="0284C7"/>
          <w:sz w:val="44"/>
        </w:rPr>
        <w:t>CARTILHA DE NIVELAMENTO</w:t>
      </w:r>
    </w:p>
    <w:p>
      <w:pPr>
        <w:spacing w:before="0" w:after="560"/>
        <w:jc w:val="center"/>
      </w:pPr>
      <w:r>
        <w:rPr>
          <w:rFonts w:ascii="Calibri" w:hAnsi="Calibri"/>
          <w:i/>
          <w:color w:val="0EA5E9"/>
          <w:sz w:val="24"/>
        </w:rPr>
        <w:t>Módulo de Gestão de Parcerias e Ecossistema TRANSFEREGOV.BR</w:t>
        <w:br/>
        <w:t>Guia Prático para Órgãos Concedentes Federais, Estados, Municípios e OSCs</w:t>
      </w:r>
    </w:p>
    <w:p>
      <w:pPr>
        <w:spacing w:after="480"/>
        <w:jc w:val="center"/>
      </w:pPr>
      <w:r>
        <w:rPr>
          <w:color w:val="E2E8F0"/>
        </w:rPr>
        <w:t>____________________________________________________</w:t>
      </w:r>
    </w:p>
    <w:p>
      <w:pPr>
        <w:keepNext/>
        <w:spacing w:before="320" w:after="160"/>
      </w:pPr>
      <w:r>
        <w:rPr>
          <w:rFonts w:ascii="Calibri" w:hAnsi="Calibri"/>
          <w:b/>
          <w:color w:val="0F172A"/>
          <w:sz w:val="28"/>
        </w:rPr>
        <w:t>⚡ 1. Sumário Executivo</w:t>
      </w:r>
    </w:p>
    <w:p>
      <w:pPr>
        <w:spacing w:before="0" w:after="160" w:line="276" w:lineRule="auto"/>
      </w:pPr>
      <w:r>
        <w:rPr>
          <w:rFonts w:ascii="Calibri" w:hAnsi="Calibri"/>
          <w:color w:val="334155"/>
          <w:sz w:val="21"/>
        </w:rPr>
        <w:t>A modernização dos repasses de recursos no âmbito federal atinge um marco fundamental com a transição para o modelo de Transferência Simplificada no TRANSFEREGOV.BR. Esta mudança é uma resposta direta à necessidade de conferir celeridade e eficiência à execução de políticas públicas críticas de fomento e parcerias, otimizando o relacionamento interfederativo.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0F9FF"/>
            <w:tcBorders>
              <w:left w:val="single" w:sz="36" w:space="0" w:color="0ea5e9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Calibri" w:hAnsi="Calibri"/>
                <w:b/>
                <w:color w:val="0F172A"/>
                <w:sz w:val="21"/>
              </w:rPr>
              <w:t>Principais Conclusões:</w:t>
            </w:r>
          </w:p>
          <w:p>
            <w:pPr>
              <w:spacing w:before="80" w:after="80" w:line="276" w:lineRule="auto"/>
            </w:pPr>
            <w:r>
              <w:rPr>
                <w:rFonts w:ascii="Calibri" w:hAnsi="Calibri"/>
                <w:color w:val="3C3C3C"/>
                <w:sz w:val="20"/>
              </w:rPr>
              <w:t>• Ruptura de Paradigma: Dispensa convênios ou instrumentos complexos ex-ante, focando no objeto físico.</w:t>
            </w:r>
          </w:p>
          <w:p>
            <w:pPr>
              <w:spacing w:before="80" w:after="80" w:line="276" w:lineRule="auto"/>
            </w:pPr>
            <w:r>
              <w:rPr>
                <w:rFonts w:ascii="Calibri" w:hAnsi="Calibri"/>
                <w:color w:val="3C3C3C"/>
                <w:sz w:val="20"/>
              </w:rPr>
              <w:t>• Padronização Técnica: Utiliza metas físicas pré-configuradas no Módulo de Gestão de Parcerias.</w:t>
            </w:r>
          </w:p>
          <w:p>
            <w:pPr>
              <w:spacing w:before="80" w:after="80" w:line="276" w:lineRule="auto"/>
            </w:pPr>
            <w:r>
              <w:rPr>
                <w:rFonts w:ascii="Calibri" w:hAnsi="Calibri"/>
                <w:color w:val="3C3C3C"/>
                <w:sz w:val="20"/>
              </w:rPr>
              <w:t>• Mapeamento Estrutural: Uso de SIORG setorial (ex: Departamento Gestor - 267384) para controle administrativo.</w:t>
            </w:r>
          </w:p>
          <w:p>
            <w:pPr>
              <w:spacing w:before="80" w:after="80" w:line="276" w:lineRule="auto"/>
            </w:pPr>
            <w:r>
              <w:rPr>
                <w:rFonts w:ascii="Calibri" w:hAnsi="Calibri"/>
                <w:color w:val="3C3C3C"/>
                <w:sz w:val="20"/>
              </w:rPr>
              <w:t>• Gestão de Riscos Eficiente: Regras de exceção (como o defeso eleitoral) parametrizadas por tipo de programa no sistema.</w:t>
            </w:r>
          </w:p>
          <w:p>
            <w:pPr>
              <w:spacing w:before="80" w:after="80" w:line="276" w:lineRule="auto"/>
            </w:pPr>
            <w:r>
              <w:rPr>
                <w:rFonts w:ascii="Calibri" w:hAnsi="Calibri"/>
                <w:color w:val="3C3C3C"/>
                <w:sz w:val="20"/>
              </w:rPr>
              <w:t>• Rastreabilidade Financeira: Integração nativa com SIAFI para abertura de contas e conciliação em tempo real.</w:t>
            </w:r>
          </w:p>
        </w:tc>
      </w:tr>
    </w:tbl>
    <w:p>
      <w:pPr>
        <w:spacing w:before="120" w:after="120"/>
      </w:pPr>
    </w:p>
    <w:p>
      <w:pPr>
        <w:keepNext/>
        <w:spacing w:before="320" w:after="160"/>
      </w:pPr>
      <w:r>
        <w:rPr>
          <w:rFonts w:ascii="Calibri" w:hAnsi="Calibri"/>
          <w:b/>
          <w:color w:val="0F172A"/>
          <w:sz w:val="28"/>
        </w:rPr>
        <w:t>🏛️ 2. Contexto Institucional e Base Normativa</w:t>
      </w:r>
    </w:p>
    <w:p>
      <w:pPr>
        <w:spacing w:before="0" w:after="160" w:line="276" w:lineRule="auto"/>
      </w:pPr>
      <w:r>
        <w:rPr>
          <w:rFonts w:ascii="Calibri" w:hAnsi="Calibri"/>
          <w:color w:val="334155"/>
          <w:sz w:val="21"/>
        </w:rPr>
        <w:t>A implementação desta nova modalidade é sustentada por Acordos de Cooperação Técnica (ACT) firmados entre o Ministério da Gestão e da Inovação em Serviços Públicos (MGI) e os órgãos federais parceiros. Este acordo formaliza o suporte técnico para a internalização de políticas finalísticas no ecossistema de transferências da União, substituindo a análise documental analítica por uma sistemática de adesão rápida.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0FDF4"/>
            <w:tcBorders>
              <w:left w:val="single" w:sz="36" w:space="0" w:color="10b981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Calibri" w:hAnsi="Calibri"/>
                <w:b/>
                <w:color w:val="0F172A"/>
                <w:sz w:val="21"/>
              </w:rPr>
              <w:t>Papéis e Responsabilidades:</w:t>
            </w:r>
          </w:p>
          <w:p>
            <w:pPr>
              <w:spacing w:before="80" w:after="80" w:line="276" w:lineRule="auto"/>
            </w:pPr>
            <w:r>
              <w:rPr>
                <w:rFonts w:ascii="Calibri" w:hAnsi="Calibri"/>
                <w:color w:val="3C3C3C"/>
                <w:sz w:val="20"/>
              </w:rPr>
              <w:t>Papel do MGI: Gestor central da Plataforma TRANSFEREGOV.BR, responsável por fornecer a infraestrutura sistêmica e garantir o marco regulatório e governança.</w:t>
            </w:r>
          </w:p>
          <w:p>
            <w:pPr>
              <w:spacing w:before="80" w:after="80" w:line="276" w:lineRule="auto"/>
            </w:pPr>
            <w:r>
              <w:rPr>
                <w:rFonts w:ascii="Calibri" w:hAnsi="Calibri"/>
                <w:color w:val="3C3C3C"/>
                <w:sz w:val="20"/>
              </w:rPr>
              <w:t>Papel dos Órgãos Parceiros: Detêm total autonomia na gestão dos recursos de seus fundos, na definição das regras de negócio de suas chamadas públicas e na validação das metas físicas pactuadas.</w:t>
            </w:r>
          </w:p>
        </w:tc>
      </w:tr>
    </w:tbl>
    <w:p>
      <w:pPr>
        <w:spacing w:before="120" w:after="120"/>
      </w:pPr>
    </w:p>
    <w:p>
      <w:pPr>
        <w:keepNext/>
        <w:spacing w:before="320" w:after="160"/>
      </w:pPr>
      <w:r>
        <w:rPr>
          <w:rFonts w:ascii="Calibri" w:hAnsi="Calibri"/>
          <w:b/>
          <w:color w:val="0F172A"/>
          <w:sz w:val="28"/>
        </w:rPr>
        <w:t>⚙️ 3. Arquitetura Técnica do TRANSFEREGOV.BR</w:t>
      </w:r>
    </w:p>
    <w:p>
      <w:pPr>
        <w:spacing w:before="0" w:after="160" w:line="276" w:lineRule="auto"/>
      </w:pPr>
      <w:r>
        <w:rPr>
          <w:rFonts w:ascii="Calibri" w:hAnsi="Calibri"/>
          <w:color w:val="334155"/>
          <w:sz w:val="21"/>
        </w:rPr>
        <w:t>A robustez do TRANSFEREGOV.BR garante a integridade dos recursos federais. A arquitetura sistêmica é subdividida em três ambientes principais: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</w:rPr>
              <w:t>Ambiente</w:t>
            </w:r>
          </w:p>
        </w:tc>
        <w:tc>
          <w:tcPr>
            <w:tcW w:type="dxa" w:w="4680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</w:rPr>
              <w:t>Descrição e Finalidade</w:t>
            </w:r>
          </w:p>
        </w:tc>
      </w:tr>
      <w:tr>
        <w:tc>
          <w:tcPr>
            <w:tcW w:type="dxa" w:w="4680"/>
            <w:shd w:val="clear" w:color="auto" w:fill="F8FAFC"/>
          </w:tcPr>
          <w:p>
            <w:pPr>
              <w:jc w:val="center"/>
            </w:pPr>
            <w:r>
              <w:rPr>
                <w:b/>
                <w:sz w:val="19"/>
              </w:rPr>
              <w:t>1. Treinamento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Simulador (sandbox) isolado destinado ao aprendizado das equipes técnicas, sem impacto orçamentário real.</w:t>
            </w:r>
          </w:p>
        </w:tc>
      </w:tr>
      <w:tr>
        <w:tc>
          <w:tcPr>
            <w:tcW w:type="dxa" w:w="4680"/>
            <w:shd w:val="clear" w:color="auto" w:fill="F8FAFC"/>
          </w:tcPr>
          <w:p>
            <w:pPr>
              <w:jc w:val="center"/>
            </w:pPr>
            <w:r>
              <w:rPr>
                <w:b/>
                <w:sz w:val="19"/>
              </w:rPr>
              <w:t>2. Homologação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Validações finais de layouts, parametrizações e testes de integração de APIs com agentes bancários.</w:t>
            </w:r>
          </w:p>
        </w:tc>
      </w:tr>
      <w:tr>
        <w:tc>
          <w:tcPr>
            <w:tcW w:type="dxa" w:w="4680"/>
            <w:shd w:val="clear" w:color="auto" w:fill="F8FAFC"/>
          </w:tcPr>
          <w:p>
            <w:pPr>
              <w:jc w:val="center"/>
            </w:pPr>
            <w:r>
              <w:rPr>
                <w:b/>
                <w:sz w:val="19"/>
              </w:rPr>
              <w:t>3. Produção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Execução oficial das parcerias, com empenho no SIAFI, transações financeiras reais e monitoramento legal.</w:t>
            </w:r>
          </w:p>
        </w:tc>
      </w:tr>
    </w:tbl>
    <w:p>
      <w:pPr>
        <w:spacing w:before="120"/>
      </w:pPr>
    </w:p>
    <w:p>
      <w:pPr>
        <w:spacing w:before="0" w:after="160" w:line="276" w:lineRule="auto"/>
      </w:pPr>
      <w:r>
        <w:rPr>
          <w:rFonts w:ascii="Calibri" w:hAnsi="Calibri"/>
          <w:color w:val="334155"/>
          <w:sz w:val="21"/>
        </w:rPr>
        <w:t>Solução Técnica SIORG: Para viabilizar a vinculação administrativa de conselhos ou fundos finalísticos sem código de Unidade Gestora própria, a plataforma utiliza a vinculação via código de SIORG (ex: código do Departamento Gestor de Recursos - 267384) e perfis específicos para servidores.</w:t>
      </w:r>
    </w:p>
    <w:p>
      <w:pPr>
        <w:keepNext/>
        <w:spacing w:before="320" w:after="160"/>
      </w:pPr>
      <w:r>
        <w:rPr>
          <w:rFonts w:ascii="Calibri" w:hAnsi="Calibri"/>
          <w:b/>
          <w:color w:val="0F172A"/>
          <w:sz w:val="28"/>
        </w:rPr>
        <w:t>🔧 4. Parametrização por Política Pública</w:t>
      </w:r>
    </w:p>
    <w:p>
      <w:pPr>
        <w:spacing w:before="0" w:after="160" w:line="276" w:lineRule="auto"/>
      </w:pPr>
      <w:r>
        <w:rPr>
          <w:rFonts w:ascii="Calibri" w:hAnsi="Calibri"/>
          <w:color w:val="334155"/>
          <w:sz w:val="21"/>
        </w:rPr>
        <w:t>O Módulo de Gestão de Parcerias do TRANSFEREGOV.BR se adapta às particularidades de diferentes políticas públicas por meio de configurações no sistema:</w:t>
      </w:r>
    </w:p>
    <w:p>
      <w:pPr>
        <w:keepNext/>
        <w:spacing w:before="240" w:after="120"/>
      </w:pPr>
      <w:r>
        <w:rPr>
          <w:rFonts w:ascii="Calibri" w:hAnsi="Calibri"/>
          <w:b/>
          <w:color w:val="0369A1"/>
          <w:sz w:val="23"/>
        </w:rPr>
        <w:t>1. Requisitos de Habilitação</w:t>
      </w:r>
    </w:p>
    <w:p>
      <w:pPr>
        <w:spacing w:before="0" w:after="160" w:line="276" w:lineRule="auto"/>
      </w:pPr>
      <w:r>
        <w:rPr>
          <w:rFonts w:ascii="Calibri" w:hAnsi="Calibri"/>
          <w:color w:val="334155"/>
          <w:sz w:val="21"/>
        </w:rPr>
        <w:t>Definição automatizada de critérios técnicos e fiscais que os proponentes devem cumprir eletronicamente.</w:t>
      </w:r>
    </w:p>
    <w:p>
      <w:pPr>
        <w:keepNext/>
        <w:spacing w:before="240" w:after="120"/>
      </w:pPr>
      <w:r>
        <w:rPr>
          <w:rFonts w:ascii="Calibri" w:hAnsi="Calibri"/>
          <w:b/>
          <w:color w:val="0369A1"/>
          <w:sz w:val="23"/>
        </w:rPr>
        <w:t>2. Anexos Obrigatórios</w:t>
      </w:r>
    </w:p>
    <w:p>
      <w:pPr>
        <w:spacing w:before="0" w:after="160" w:line="276" w:lineRule="auto"/>
      </w:pPr>
      <w:r>
        <w:rPr>
          <w:rFonts w:ascii="Calibri" w:hAnsi="Calibri"/>
          <w:color w:val="334155"/>
          <w:sz w:val="21"/>
        </w:rPr>
        <w:t>Possibilidade de restringir a adesão à inserção de planos setoriais específicos de trabalho (ex: planos de contingência, declarações locais).</w:t>
      </w:r>
    </w:p>
    <w:p>
      <w:pPr>
        <w:keepNext/>
        <w:spacing w:before="240" w:after="120"/>
      </w:pPr>
      <w:r>
        <w:rPr>
          <w:rFonts w:ascii="Calibri" w:hAnsi="Calibri"/>
          <w:b/>
          <w:color w:val="0369A1"/>
          <w:sz w:val="23"/>
        </w:rPr>
        <w:t>3. Metas Padronizadas</w:t>
      </w:r>
    </w:p>
    <w:p>
      <w:pPr>
        <w:spacing w:before="0" w:after="160" w:line="276" w:lineRule="auto"/>
      </w:pPr>
      <w:r>
        <w:rPr>
          <w:rFonts w:ascii="Calibri" w:hAnsi="Calibri"/>
          <w:color w:val="334155"/>
          <w:sz w:val="21"/>
        </w:rPr>
        <w:t>Catálogo de entregas físicas predefinidas para a rápida adesão dos estados e municípios, eliminando propostas subjetivas.</w:t>
      </w:r>
    </w:p>
    <w:p>
      <w:pPr>
        <w:keepNext/>
        <w:spacing w:before="320" w:after="160"/>
      </w:pPr>
      <w:r>
        <w:rPr>
          <w:rFonts w:ascii="Calibri" w:hAnsi="Calibri"/>
          <w:b/>
          <w:color w:val="0F172A"/>
          <w:sz w:val="28"/>
        </w:rPr>
        <w:t>💳 5. Ordem de Pagamento de Parcerias (OPP)</w:t>
      </w:r>
    </w:p>
    <w:p>
      <w:pPr>
        <w:spacing w:before="0" w:after="160" w:line="276" w:lineRule="auto"/>
      </w:pPr>
      <w:r>
        <w:rPr>
          <w:rFonts w:ascii="Calibri" w:hAnsi="Calibri"/>
          <w:color w:val="334155"/>
          <w:sz w:val="21"/>
        </w:rPr>
        <w:t>A OPP é o instrumento financeiro definitivo de automatização bancária das parcerias. Ela assegura e agiliza a liberação dos recursos federais:</w:t>
      </w:r>
    </w:p>
    <w:p>
      <w:pPr>
        <w:keepNext/>
        <w:spacing w:before="240" w:after="120"/>
      </w:pPr>
      <w:r>
        <w:rPr>
          <w:rFonts w:ascii="Calibri" w:hAnsi="Calibri"/>
          <w:b/>
          <w:color w:val="0369A1"/>
          <w:sz w:val="23"/>
        </w:rPr>
        <w:t>⚡ Tempo Real via API</w:t>
      </w:r>
    </w:p>
    <w:p>
      <w:pPr>
        <w:spacing w:before="0" w:after="160" w:line="276" w:lineRule="auto"/>
      </w:pPr>
      <w:r>
        <w:rPr>
          <w:rFonts w:ascii="Calibri" w:hAnsi="Calibri"/>
          <w:color w:val="334155"/>
          <w:sz w:val="21"/>
        </w:rPr>
        <w:t>Conexão direta com bancos públicos oficiais, eliminando o processamento em lote (batch).</w:t>
      </w:r>
    </w:p>
    <w:p>
      <w:pPr>
        <w:keepNext/>
        <w:spacing w:before="240" w:after="120"/>
      </w:pPr>
      <w:r>
        <w:rPr>
          <w:rFonts w:ascii="Calibri" w:hAnsi="Calibri"/>
          <w:b/>
          <w:color w:val="0369A1"/>
          <w:sz w:val="23"/>
        </w:rPr>
        <w:t>🛡️ Dupla Assinatura</w:t>
      </w:r>
    </w:p>
    <w:p>
      <w:pPr>
        <w:spacing w:before="0" w:after="160" w:line="276" w:lineRule="auto"/>
      </w:pPr>
      <w:r>
        <w:rPr>
          <w:rFonts w:ascii="Calibri" w:hAnsi="Calibri"/>
          <w:color w:val="334155"/>
          <w:sz w:val="21"/>
        </w:rPr>
        <w:t>Exigência de dupla autorização eletrônica (Operador e Gestor) com certificação Gov.br Ouro.</w:t>
      </w:r>
    </w:p>
    <w:p>
      <w:pPr>
        <w:keepNext/>
        <w:spacing w:before="240" w:after="120"/>
      </w:pPr>
      <w:r>
        <w:rPr>
          <w:rFonts w:ascii="Calibri" w:hAnsi="Calibri"/>
          <w:b/>
          <w:color w:val="0369A1"/>
          <w:sz w:val="23"/>
        </w:rPr>
        <w:t>📱 Pix e QR Code</w:t>
      </w:r>
    </w:p>
    <w:p>
      <w:pPr>
        <w:spacing w:before="0" w:after="160" w:line="276" w:lineRule="auto"/>
      </w:pPr>
      <w:r>
        <w:rPr>
          <w:rFonts w:ascii="Calibri" w:hAnsi="Calibri"/>
          <w:color w:val="334155"/>
          <w:sz w:val="21"/>
        </w:rPr>
        <w:t>Pagamento direto a fornecedores e prestadores na ponta, garantindo conciliação imediata.</w:t>
      </w:r>
    </w:p>
    <w:p>
      <w:pPr>
        <w:keepNext/>
        <w:spacing w:before="240" w:after="120"/>
      </w:pPr>
      <w:r>
        <w:rPr>
          <w:rFonts w:ascii="Calibri" w:hAnsi="Calibri"/>
          <w:b/>
          <w:color w:val="0369A1"/>
          <w:sz w:val="23"/>
        </w:rPr>
        <w:t>⚙️ Controle Ativo</w:t>
      </w:r>
    </w:p>
    <w:p>
      <w:pPr>
        <w:spacing w:before="0" w:after="160" w:line="276" w:lineRule="auto"/>
      </w:pPr>
      <w:r>
        <w:rPr>
          <w:rFonts w:ascii="Calibri" w:hAnsi="Calibri"/>
          <w:color w:val="334155"/>
          <w:sz w:val="21"/>
        </w:rPr>
        <w:t>Prerrogativa do órgão federal de comandar o bloqueio e devolução de saldos não utilizados.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FFDF0"/>
            <w:tcBorders>
              <w:left w:val="single" w:sz="36" w:space="0" w:color="f59e0b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Calibri" w:hAnsi="Calibri"/>
                <w:b/>
                <w:color w:val="0F172A"/>
                <w:sz w:val="21"/>
              </w:rPr>
              <w:t>Ficha Técnica e Prazos:</w:t>
            </w:r>
          </w:p>
          <w:p>
            <w:pPr>
              <w:spacing w:before="80" w:after="80" w:line="276" w:lineRule="auto"/>
            </w:pPr>
            <w:r>
              <w:rPr>
                <w:rFonts w:ascii="Calibri" w:hAnsi="Calibri"/>
                <w:color w:val="3C3C3C"/>
                <w:sz w:val="20"/>
              </w:rPr>
              <w:t>Ficha Técnica e Prazos: Abertura de conta via API em 3 a 5 segundos; Janela de autorizações das 07h às 19h30; transações via Pix sem teto de valor. A migração compulsória para todas as 63 mil contas ativas no país deve ocorrer até dezembro de 2026.</w:t>
            </w:r>
          </w:p>
        </w:tc>
      </w:tr>
    </w:tbl>
    <w:p>
      <w:pPr>
        <w:spacing w:before="120" w:after="120"/>
      </w:pPr>
    </w:p>
    <w:p>
      <w:pPr>
        <w:keepNext/>
        <w:spacing w:before="320" w:after="160"/>
      </w:pPr>
      <w:r>
        <w:rPr>
          <w:rFonts w:ascii="Calibri" w:hAnsi="Calibri"/>
          <w:b/>
          <w:color w:val="0F172A"/>
          <w:sz w:val="28"/>
        </w:rPr>
        <w:t>🗺️ 6. Jornada da Transferência</w:t>
      </w:r>
    </w:p>
    <w:p>
      <w:pPr>
        <w:spacing w:before="0" w:after="160" w:line="276" w:lineRule="auto"/>
      </w:pPr>
      <w:r>
        <w:rPr>
          <w:rFonts w:ascii="Calibri" w:hAnsi="Calibri"/>
          <w:color w:val="334155"/>
          <w:sz w:val="21"/>
        </w:rPr>
        <w:t>A jornada de repasses simplificados substitui os planos de trabalho densos por um fluxo lógico em 5 etapas no sistema:</w:t>
      </w:r>
    </w:p>
    <w:p>
      <w:pPr>
        <w:spacing w:before="0" w:after="160" w:line="276" w:lineRule="auto"/>
      </w:pPr>
      <w:r>
        <w:rPr>
          <w:rFonts w:ascii="Calibri" w:hAnsi="Calibri"/>
          <w:color w:val="334155"/>
          <w:sz w:val="21"/>
        </w:rPr>
        <w:t>• 01. Convocatória: O órgão concedente cadastra a chamada pública, metas físicas padronizadas e prazos no sistema.</w:t>
      </w:r>
    </w:p>
    <w:p>
      <w:pPr>
        <w:spacing w:before="0" w:after="160" w:line="276" w:lineRule="auto"/>
      </w:pPr>
      <w:r>
        <w:rPr>
          <w:rFonts w:ascii="Calibri" w:hAnsi="Calibri"/>
          <w:color w:val="334155"/>
          <w:sz w:val="21"/>
        </w:rPr>
        <w:t>• 02. Proposição: O ente subnacional adere digitalmente à chamada, preenchendo as informações e anexando os documentos.</w:t>
      </w:r>
    </w:p>
    <w:p>
      <w:pPr>
        <w:spacing w:before="0" w:after="160" w:line="276" w:lineRule="auto"/>
      </w:pPr>
      <w:r>
        <w:rPr>
          <w:rFonts w:ascii="Calibri" w:hAnsi="Calibri"/>
          <w:color w:val="334155"/>
          <w:sz w:val="21"/>
        </w:rPr>
        <w:t>• 03. Validação: O concedente realiza a análise da habilitação eletrônica e emite o parecer de aprovação.</w:t>
      </w:r>
    </w:p>
    <w:p>
      <w:pPr>
        <w:spacing w:before="0" w:after="160" w:line="276" w:lineRule="auto"/>
      </w:pPr>
      <w:r>
        <w:rPr>
          <w:rFonts w:ascii="Calibri" w:hAnsi="Calibri"/>
          <w:color w:val="334155"/>
          <w:sz w:val="21"/>
        </w:rPr>
        <w:t>• 04. SIAFI: O sistema realiza o empenho automático e o comando de abertura de conta bancária vinculada.</w:t>
      </w:r>
    </w:p>
    <w:p>
      <w:pPr>
        <w:spacing w:before="0" w:after="160" w:line="276" w:lineRule="auto"/>
      </w:pPr>
      <w:r>
        <w:rPr>
          <w:rFonts w:ascii="Calibri" w:hAnsi="Calibri"/>
          <w:color w:val="334155"/>
          <w:sz w:val="21"/>
        </w:rPr>
        <w:t>• 05. Ciclo Final: O ente executa as metas físicas e apresenta o Relatório de Execução Simplificado focado nas entregas.</w:t>
      </w:r>
    </w:p>
    <w:p>
      <w:pPr>
        <w:keepNext/>
        <w:spacing w:before="320" w:after="160"/>
      </w:pPr>
      <w:r>
        <w:rPr>
          <w:rFonts w:ascii="Calibri" w:hAnsi="Calibri"/>
          <w:b/>
          <w:color w:val="0F172A"/>
          <w:sz w:val="28"/>
        </w:rPr>
        <w:t>❓ 7. Dúvidas Operacionais (FAQ)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0F9FF"/>
            <w:tcBorders>
              <w:left w:val="single" w:sz="36" w:space="0" w:color="0284c7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Calibri" w:hAnsi="Calibri"/>
                <w:b/>
                <w:color w:val="0F172A"/>
                <w:sz w:val="21"/>
              </w:rPr>
              <w:t>❓ Como funciona a adesão no TRANSFEREGOV.BR?</w:t>
            </w:r>
          </w:p>
          <w:p>
            <w:pPr>
              <w:spacing w:before="80" w:after="80" w:line="276" w:lineRule="auto"/>
            </w:pPr>
            <w:r>
              <w:rPr>
                <w:rFonts w:ascii="Calibri" w:hAnsi="Calibri"/>
                <w:color w:val="3C3C3C"/>
                <w:sz w:val="20"/>
              </w:rPr>
              <w:t>O processo é eletrônico e integrado. O proponente localiza o edital e manifesta interesse aderindo diretamente no TRANSFEREGOV.BR, assinando digitalmente o termo.</w:t>
            </w:r>
          </w:p>
        </w:tc>
      </w:tr>
    </w:tbl>
    <w:p>
      <w:pPr>
        <w:spacing w:before="12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0F9FF"/>
            <w:tcBorders>
              <w:left w:val="single" w:sz="36" w:space="0" w:color="0284c7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Calibri" w:hAnsi="Calibri"/>
                <w:b/>
                <w:color w:val="0F172A"/>
                <w:sz w:val="21"/>
              </w:rPr>
              <w:t>❓ O que é a parametrização das políticas públicas?</w:t>
            </w:r>
          </w:p>
          <w:p>
            <w:pPr>
              <w:spacing w:before="80" w:after="80" w:line="276" w:lineRule="auto"/>
            </w:pPr>
            <w:r>
              <w:rPr>
                <w:rFonts w:ascii="Calibri" w:hAnsi="Calibri"/>
                <w:color w:val="3C3C3C"/>
                <w:sz w:val="20"/>
              </w:rPr>
              <w:t>É a predefinição pelo órgão concedente das regras de negócio, metas padronizadas e documentos exigidos, adaptando o sistema ao seu setor.</w:t>
            </w:r>
          </w:p>
        </w:tc>
      </w:tr>
    </w:tbl>
    <w:p>
      <w:pPr>
        <w:spacing w:before="12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0F9FF"/>
            <w:tcBorders>
              <w:left w:val="single" w:sz="36" w:space="0" w:color="0284c7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Calibri" w:hAnsi="Calibri"/>
                <w:b/>
                <w:color w:val="0F172A"/>
                <w:sz w:val="21"/>
              </w:rPr>
              <w:t>❓ Qual a importância do ambiente de Treinamento?</w:t>
            </w:r>
          </w:p>
          <w:p>
            <w:pPr>
              <w:spacing w:before="80" w:after="80" w:line="276" w:lineRule="auto"/>
            </w:pPr>
            <w:r>
              <w:rPr>
                <w:rFonts w:ascii="Calibri" w:hAnsi="Calibri"/>
                <w:color w:val="3C3C3C"/>
                <w:sz w:val="20"/>
              </w:rPr>
              <w:t>Funciona como um simulador (sandbox) isolado, permitindo que os técnicos simulem a parametrização e execução de forma prática e sem risco fiscal.</w:t>
            </w:r>
          </w:p>
        </w:tc>
      </w:tr>
    </w:tbl>
    <w:p>
      <w:pPr>
        <w:spacing w:before="12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0F9FF"/>
            <w:tcBorders>
              <w:left w:val="single" w:sz="36" w:space="0" w:color="0284c7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Calibri" w:hAnsi="Calibri"/>
                <w:b/>
                <w:color w:val="0F172A"/>
                <w:sz w:val="21"/>
              </w:rPr>
              <w:t>❓ Como ocorre a prestação de contas?</w:t>
            </w:r>
          </w:p>
          <w:p>
            <w:pPr>
              <w:spacing w:before="80" w:after="80" w:line="276" w:lineRule="auto"/>
            </w:pPr>
            <w:r>
              <w:rPr>
                <w:rFonts w:ascii="Calibri" w:hAnsi="Calibri"/>
                <w:color w:val="3C3C3C"/>
                <w:sz w:val="20"/>
              </w:rPr>
              <w:t>O foco é direcionado para a comprovação física do alcance do objeto e das metas cadastradas, simplificando a prestação documental ex-post.</w:t>
            </w:r>
          </w:p>
        </w:tc>
      </w:tr>
    </w:tbl>
    <w:p>
      <w:pPr>
        <w:spacing w:before="120" w:after="120"/>
      </w:pPr>
    </w:p>
    <w:p>
      <w:pPr>
        <w:keepNext/>
        <w:spacing w:before="320" w:after="160"/>
      </w:pPr>
      <w:r>
        <w:rPr>
          <w:rFonts w:ascii="Calibri" w:hAnsi="Calibri"/>
          <w:b/>
          <w:color w:val="0F172A"/>
          <w:sz w:val="28"/>
        </w:rPr>
        <w:t>⚠️ 8. Pontos de Atenção e Riscos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EF2F2"/>
            <w:tcBorders>
              <w:left w:val="single" w:sz="36" w:space="0" w:color="ef4444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Calibri" w:hAnsi="Calibri"/>
                <w:b/>
                <w:color w:val="0F172A"/>
                <w:sz w:val="21"/>
              </w:rPr>
              <w:t>⚠️ Sintoma do Convênio (Resistência)</w:t>
            </w:r>
          </w:p>
          <w:p>
            <w:pPr>
              <w:spacing w:before="80" w:after="80" w:line="276" w:lineRule="auto"/>
            </w:pPr>
            <w:r>
              <w:rPr>
                <w:rFonts w:ascii="Calibri" w:hAnsi="Calibri"/>
                <w:color w:val="3C3C3C"/>
                <w:sz w:val="20"/>
              </w:rPr>
              <w:t>Dificuldade cultural de técnicos em desapegar de controles ex-ante densos e Notas Fiscais unitárias ex-ante, o que invalida a celeridade proposta pela Transferência Simplificada.</w:t>
            </w:r>
          </w:p>
        </w:tc>
      </w:tr>
    </w:tbl>
    <w:p>
      <w:pPr>
        <w:spacing w:before="12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EF2F2"/>
            <w:tcBorders>
              <w:left w:val="single" w:sz="36" w:space="0" w:color="ef4444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Calibri" w:hAnsi="Calibri"/>
                <w:b/>
                <w:color w:val="0F172A"/>
                <w:sz w:val="21"/>
              </w:rPr>
              <w:t>⚠️ Prazos do Defeso Eleitoral</w:t>
            </w:r>
          </w:p>
          <w:p>
            <w:pPr>
              <w:spacing w:before="80" w:after="80" w:line="276" w:lineRule="auto"/>
            </w:pPr>
            <w:r>
              <w:rPr>
                <w:rFonts w:ascii="Calibri" w:hAnsi="Calibri"/>
                <w:color w:val="3C3C3C"/>
                <w:sz w:val="20"/>
              </w:rPr>
              <w:t>Observância estrita do calendário eleitoral ordinário. Importante notar que apenas programas finalísticos de caráter de Emergência ou Calamidade Pública formalmente decretada possuem prerrogativas excepcionais de repasse.</w:t>
            </w:r>
          </w:p>
        </w:tc>
      </w:tr>
    </w:tbl>
    <w:p>
      <w:pPr>
        <w:spacing w:before="120" w:after="120"/>
      </w:pPr>
    </w:p>
    <w:p>
      <w:pPr>
        <w:keepNext/>
        <w:spacing w:before="320" w:after="160"/>
      </w:pPr>
      <w:r>
        <w:rPr>
          <w:rFonts w:ascii="Calibri" w:hAnsi="Calibri"/>
          <w:b/>
          <w:color w:val="0F172A"/>
          <w:sz w:val="28"/>
        </w:rPr>
        <w:t>✅ 9. Boas Práticas Operacionais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0FDF4"/>
            <w:tcBorders>
              <w:left w:val="single" w:sz="36" w:space="0" w:color="10b981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Calibri" w:hAnsi="Calibri"/>
                <w:b/>
                <w:color w:val="0F172A"/>
                <w:sz w:val="21"/>
              </w:rPr>
              <w:t>✅ Treinamento Prévio em Sandbox</w:t>
            </w:r>
          </w:p>
          <w:p>
            <w:pPr>
              <w:spacing w:before="80" w:after="80" w:line="276" w:lineRule="auto"/>
            </w:pPr>
            <w:r>
              <w:rPr>
                <w:rFonts w:ascii="Calibri" w:hAnsi="Calibri"/>
                <w:color w:val="3C3C3C"/>
                <w:sz w:val="20"/>
              </w:rPr>
              <w:t>Utilização intensiva do ambiente de treinamento livre para simular 90% das telas sem necessidade imediata de certificado digital.</w:t>
            </w:r>
          </w:p>
        </w:tc>
      </w:tr>
    </w:tbl>
    <w:p>
      <w:pPr>
        <w:spacing w:before="12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0FDF4"/>
            <w:tcBorders>
              <w:left w:val="single" w:sz="36" w:space="0" w:color="10b981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Calibri" w:hAnsi="Calibri"/>
                <w:b/>
                <w:color w:val="0F172A"/>
                <w:sz w:val="21"/>
              </w:rPr>
              <w:t>✅ Canais de Comunicação Permanentes</w:t>
            </w:r>
          </w:p>
          <w:p>
            <w:pPr>
              <w:spacing w:before="80" w:after="80" w:line="276" w:lineRule="auto"/>
            </w:pPr>
            <w:r>
              <w:rPr>
                <w:rFonts w:ascii="Calibri" w:hAnsi="Calibri"/>
                <w:color w:val="3C3C3C"/>
                <w:sz w:val="20"/>
              </w:rPr>
              <w:t>Abertura de chats técnicos ou fóruns integrados para esclarecer parametrizações de metas com o órgão concedente antes de abrir o edital.</w:t>
            </w:r>
          </w:p>
        </w:tc>
      </w:tr>
    </w:tbl>
    <w:p>
      <w:pPr>
        <w:spacing w:before="120"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