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color w:val="475569"/>
          <w:sz w:val="22"/>
        </w:rPr>
        <w:t>Ministério da Gestão e da Inovação em Serviços Públicos</w:t>
        <w:br/>
        <w:t>Secretaria de Gestão e Inovação - SEGES</w:t>
      </w:r>
    </w:p>
    <w:p>
      <w:pPr>
        <w:spacing w:before="2400" w:after="160"/>
        <w:jc w:val="center"/>
      </w:pPr>
      <w:r>
        <w:rPr>
          <w:rFonts w:ascii="Verdana" w:hAnsi="Verdana"/>
          <w:b/>
          <w:color w:val="2670E8"/>
          <w:sz w:val="48"/>
        </w:rPr>
        <w:t>CARTILHA DE NIVELAMENTO</w:t>
      </w:r>
    </w:p>
    <w:p>
      <w:pPr>
        <w:spacing w:before="0" w:after="560"/>
        <w:jc w:val="center"/>
      </w:pPr>
      <w:r>
        <w:rPr>
          <w:rFonts w:ascii="Verdana" w:hAnsi="Verdana"/>
          <w:i/>
          <w:color w:val="475569"/>
          <w:sz w:val="24"/>
        </w:rPr>
        <w:t>Módulo de Gestão de Parcerias e Ecossistema TRANSFEREGOV.BR</w:t>
        <w:br/>
        <w:t>Guia Prático para Órgãos Concedentes Federais, Estados, Municípios e OSCs</w:t>
      </w:r>
    </w:p>
    <w:p>
      <w:pPr>
        <w:spacing w:before="2800"/>
        <w:jc w:val="center"/>
      </w:pPr>
      <w:r>
        <w:rPr>
          <w:rFonts w:ascii="Verdana" w:hAnsi="Verdana"/>
          <w:color w:val="64748B"/>
          <w:sz w:val="20"/>
        </w:rPr>
        <w:t>Brasília - DF, 2026</w:t>
      </w:r>
    </w:p>
    <w:p>
      <w:r>
        <w:br w:type="page"/>
      </w:r>
    </w:p>
    <w:p>
      <w:pPr>
        <w:spacing w:before="360" w:after="240"/>
      </w:pPr>
      <w:r>
        <w:rPr>
          <w:rFonts w:ascii="Verdana" w:hAnsi="Verdana"/>
          <w:b/>
          <w:color w:val="0F172A"/>
          <w:sz w:val="32"/>
        </w:rPr>
        <w:t>Expediente e Ficha Técnica</w:t>
      </w:r>
    </w:p>
    <w:p>
      <w:pPr>
        <w:spacing w:after="160" w:line="276" w:lineRule="auto"/>
      </w:pPr>
      <w:r>
        <w:rPr>
          <w:rFonts w:ascii="Verdana" w:hAnsi="Verdana"/>
          <w:color w:val="334155"/>
          <w:sz w:val="21"/>
        </w:rPr>
        <w:t>Coordenação Geral: Diretoria de Parcerias e Transferências - DTPAR/SEGES/MGI</w:t>
      </w:r>
    </w:p>
    <w:p>
      <w:pPr>
        <w:spacing w:after="160" w:line="276" w:lineRule="auto"/>
      </w:pPr>
      <w:r>
        <w:rPr>
          <w:rFonts w:ascii="Verdana" w:hAnsi="Verdana"/>
          <w:color w:val="334155"/>
          <w:sz w:val="21"/>
        </w:rPr>
        <w:t>Parceiros Institucionais: Estados, Municípios e Organizações da Sociedade Civil (OSCs)</w:t>
      </w:r>
    </w:p>
    <w:p>
      <w:r>
        <w:br w:type="page"/>
      </w: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⚡ Sumário Executivo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A modernização dos repasses de recursos no âmbito federal atinge um marco fundamental com a transição para o modelo de Transferência Simplificada no TRANSFEREGOV.BR. Esta mudança é uma resposta direta à necessidade de conferir celeridade e eficiência à execução de políticas públicas críticas de fomento e parcerias, otimizando o relacionamento interfederativo.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Importante — Principais Conclusões: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• Ruptura de Paradigma: Dispensa convênios ou instrumentos complexos ex-ante, focando no objeto físico.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• Padronização Técnica: Utiliza metas físicas pré-configuradas no Módulo de Gestão de Parcerias.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• Mapeamento Estrutural: Uso de SIORG setorial (ex: Departamento Gestor - 267384) para controle administrativo.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• Gestão de Riscos Eficiente: Regras de exceção (como o defeso eleitoral) parametrizadas por tipo de programa no sistema.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• Rastreabilidade Financeira: Integração nativa com SIAFI para abertura de contas e conciliação em tempo real.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🏛️ Contexto Institucional e Base Normativa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A implementação desta nova modalidade é sustentada por Acordos de Cooperação Técnica (ACT) firmados entre o Ministério da Gestão e da Inovação em Serviços Públicos (MGI) e os órgãos federais parceiros. Este acordo formaliza o suporte técnico para a internalização de políticas finalísticas no ecossistema de transferências da União, substituindo a análise documental analítica por uma sistemática de adesão rápida.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1F5F9"/>
            <w:tcBorders>
              <w:left w:val="single" w:sz="36" w:space="0" w:color="3B82F6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Mensagem Central: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Papel do MGI: Gestor central da Plataforma TRANSFEREGOV.BR, responsável por fornecer a infraestrutura sistêmica e garantir o marco regulatório e governança.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Papel dos Órgãos Parceiros: Detêm total autonomia na gestão dos recursos de seus fundos, na definição das regras de negócio de suas chamadas públicas e na validação das metas físicas pactuadas.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⚙️ Arquitetura Técnica do TRANSFEREGOV.BR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A robustez do TRANSFEREGOV.BR garante a integridade dos recursos federais. A arquitetura sistêmica é subdividida em três ambientes principais: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2670E8"/>
          </w:tcPr>
          <w:p>
            <w:pPr>
              <w:jc w:val="center"/>
            </w:pPr>
            <w:r>
              <w:rPr>
                <w:rFonts w:ascii="Verdana" w:hAnsi="Verdana"/>
                <w:b/>
                <w:color w:val="FFFFFF"/>
              </w:rPr>
              <w:t>Ambiente</w:t>
            </w:r>
          </w:p>
        </w:tc>
        <w:tc>
          <w:tcPr>
            <w:tcW w:type="dxa" w:w="4680"/>
            <w:shd w:val="clear" w:color="auto" w:fill="2670E8"/>
          </w:tcPr>
          <w:p>
            <w:pPr>
              <w:jc w:val="center"/>
            </w:pPr>
            <w:r>
              <w:rPr>
                <w:rFonts w:ascii="Verdana" w:hAnsi="Verdana"/>
                <w:b/>
                <w:color w:val="FFFFFF"/>
              </w:rPr>
              <w:t>Descrição e Finalidade</w:t>
            </w:r>
          </w:p>
        </w:tc>
      </w:tr>
      <w:tr>
        <w:tc>
          <w:tcPr>
            <w:tcW w:type="dxa" w:w="4680"/>
            <w:shd w:val="clear" w:color="auto" w:fill="F1F5F9"/>
          </w:tcPr>
          <w:p>
            <w:pPr>
              <w:jc w:val="center"/>
            </w:pPr>
            <w:r>
              <w:rPr>
                <w:rFonts w:ascii="Verdana" w:hAnsi="Verdana"/>
                <w:b/>
                <w:sz w:val="19"/>
              </w:rPr>
              <w:t>1. Treinamento</w:t>
            </w:r>
          </w:p>
        </w:tc>
        <w:tc>
          <w:tcPr>
            <w:tcW w:type="dxa" w:w="4680"/>
          </w:tcPr>
          <w:p>
            <w:r>
              <w:rPr>
                <w:rFonts w:ascii="Verdana" w:hAnsi="Verdana"/>
                <w:sz w:val="19"/>
              </w:rPr>
              <w:t>Simulador (sandbox) isolado destinado ao aprendizado das equipes técnicas, sem impacto orçamentário real.</w:t>
            </w:r>
          </w:p>
        </w:tc>
      </w:tr>
      <w:tr>
        <w:tc>
          <w:tcPr>
            <w:tcW w:type="dxa" w:w="4680"/>
            <w:shd w:val="clear" w:color="auto" w:fill="F1F5F9"/>
          </w:tcPr>
          <w:p>
            <w:pPr>
              <w:jc w:val="center"/>
            </w:pPr>
            <w:r>
              <w:rPr>
                <w:rFonts w:ascii="Verdana" w:hAnsi="Verdana"/>
                <w:b/>
                <w:sz w:val="19"/>
              </w:rPr>
              <w:t>2. Homologação</w:t>
            </w:r>
          </w:p>
        </w:tc>
        <w:tc>
          <w:tcPr>
            <w:tcW w:type="dxa" w:w="4680"/>
          </w:tcPr>
          <w:p>
            <w:r>
              <w:rPr>
                <w:rFonts w:ascii="Verdana" w:hAnsi="Verdana"/>
                <w:sz w:val="19"/>
              </w:rPr>
              <w:t>Validações finais de layouts, parametrizações e testes de integração de APIs com agentes bancários.</w:t>
            </w:r>
          </w:p>
        </w:tc>
      </w:tr>
      <w:tr>
        <w:tc>
          <w:tcPr>
            <w:tcW w:type="dxa" w:w="4680"/>
            <w:shd w:val="clear" w:color="auto" w:fill="F1F5F9"/>
          </w:tcPr>
          <w:p>
            <w:pPr>
              <w:jc w:val="center"/>
            </w:pPr>
            <w:r>
              <w:rPr>
                <w:rFonts w:ascii="Verdana" w:hAnsi="Verdana"/>
                <w:b/>
                <w:sz w:val="19"/>
              </w:rPr>
              <w:t>3. Produção</w:t>
            </w:r>
          </w:p>
        </w:tc>
        <w:tc>
          <w:tcPr>
            <w:tcW w:type="dxa" w:w="4680"/>
          </w:tcPr>
          <w:p>
            <w:r>
              <w:rPr>
                <w:rFonts w:ascii="Verdana" w:hAnsi="Verdana"/>
                <w:sz w:val="19"/>
              </w:rPr>
              <w:t>Execução oficial das parcerias, com empenho no SIAFI, transações financeiras reais e monitoramento legal.</w:t>
            </w:r>
          </w:p>
        </w:tc>
      </w:tr>
    </w:tbl>
    <w:p>
      <w:pPr>
        <w:spacing w:before="120"/>
      </w:pP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Solução Técnica SIORG: Para viabilizar a vinculação administrativa de conselhos ou fundos finalísticos sem código de Unidade Gestora própria, a plataforma utiliza a vinculação via código de SIORG (ex: código do Departamento Gestor de Recursos - 267384) e perfis específicos para servidores.</w:t>
      </w: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🔧 Parametrização por Política Pública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O Módulo de Gestão de Parcerias do TRANSFEREGOV.BR se adapta às particularidades de diferentes políticas públicas por meio de configurações no sistema: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1. Requisitos de Habilitação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Definição automatizada de critérios técnicos e fiscais que os proponentes devem cumprir eletronicamente.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2. Anexos Obrigatórios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Possibilidade de restringir a adesão à inserção de planos setoriais específicos de trabalho (ex: planos de contingência, declarações locais).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3. Metas Padronizadas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Catálogo de entregas físicas predefinidas para a rápida adesão dos estados e municípios, eliminando propostas subjetivas.</w:t>
      </w: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💳 Ordem de Pagamento de Parcerias (OPP)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A OPP é o instrumento financeiro definitivo de automatização bancária das parcerias. Ela assegura e agiliza a liberação dos recursos federais: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⚡ Tempo Real via API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Conexão direta com bancos públicos oficiais, eliminando o processamento em lote (batch).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🛡️ Dupla Assinatura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Exigência de dupla autorização eletrônica (Operador e Gestor) com certificação Gov.br Ouro.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📱 Pix e QR Code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Pagamento direto a fornecedores e prestadores na ponta, garantindo conciliação imediata.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⚙️ Controle Ativo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Prerrogativa do órgão federal de comandar o bloqueio e devolução de saldos não utilizados.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Importante — Ficha Técnica e Prazos: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Ficha Técnica e Prazos: Abertura de conta via API em 3 a 5 segundos; Janela de autorizações das 07h às 19h30; transações via Pix sem teto de valor. A migração compulsória para todas as 63 mil contas ativas no país deve ocorrer até dezembro de 2026.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🗺️ Jornada da Transferência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A jornada de repasses simplificados substitui os planos de trabalho densos por um fluxo lógico em 5 etapas no sistema: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• 01. Convocatória: O órgão concedente cadastra a chamada pública, metas físicas padronizadas e prazos no sistema.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• 02. Proposição: O ente subnacional adere digitalmente à chamada, preenchendo as informações e anexando os documentos.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• 03. Validação: O concedente realiza a análise da habilitação eletrônica e emite o parecer de aprovação.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• 04. SIAFI: O sistema realiza o empenho automático e o comando de abertura de conta bancária vinculada.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• 05. Ciclo Final: O ente executa as metas físicas e apresenta o Relatório de Execução Simplificado focado nas entregas.</w:t>
      </w: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❓ Dúvidas Operacionais (FAQ)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❓ Como funciona a adesão no TRANSFEREGOV.BR?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O processo é eletrônico e integrado. O proponente localiza o edital e manifesta interesse aderindo diretamente no TRANSFEREGOV.BR, assinando digitalmente o termo.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❓ O que significa parametrizar o edital?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É a predefinição pelo órgão concedente das regras de negócio, metas padronizadas e documentos exigidos, adaptando o sistema ao seu setor.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❓ Qual a importância da Sandbox de Treinamento?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Funciona como um simulador (sandbox) isolado, permitindo testes práticos de empenho e execução de forma prática e sem risco fiscal real.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❓ Como ocorre a prestação de contas?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O foco é direcionado para a comprovação física do alcance do objeto e das metas cadastradas, simplificando a prestação documental ex-post.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⚠️ Pontos de Atenção e Riscos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EF2F2"/>
            <w:tcBorders>
              <w:left w:val="single" w:sz="36" w:space="0" w:color="EF4444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Atenção — Sintoma do Convênio (Resistência Cultural)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Dificuldade cultural de técnicos em desapegar de controles ex-ante densos e Notas Fiscais unitárias ex-ante, o que invalida a celeridade proposta pela Transferência Simplificada.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EF2F2"/>
            <w:tcBorders>
              <w:left w:val="single" w:sz="36" w:space="0" w:color="EF4444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Atenção — Prazos do Defeso Eleitoral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Observância estrita do calendário eleitoral ordinário. Importante notar que apenas programas de Emergência ou Calamidade Pública formalmente decretada por portaria ministerial ativa possuem exceções de continuidade.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✅ Boas Práticas Operacionais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DF4"/>
            <w:tcBorders>
              <w:left w:val="single" w:sz="36" w:space="0" w:color="10B981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Mensagem Central — Treinamento Prévio em Sandbox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Utilização intensiva do ambiente de treinamento livre para simular 90% das telas sem necessidade imediata de certificado digital.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DF4"/>
            <w:tcBorders>
              <w:left w:val="single" w:sz="36" w:space="0" w:color="10B981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Mensagem Central — Diálogo Técnico Permanente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Abertura de chats técnicos ou fóruns integrados para esclarecer parametrizações de metas com o órgão concedente antes de abrir o edital.</w:t>
            </w:r>
          </w:p>
        </w:tc>
      </w:tr>
    </w:tbl>
    <w:p>
      <w:pPr>
        <w:spacing w:before="120" w:after="120"/>
      </w:pPr>
    </w:p>
    <w:p>
      <w:r>
        <w:br w:type="page"/>
      </w: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📖 Glossário Técnico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TRANSFEREGOV.BR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Plataforma integrada de operacionalização e controle das parcerias financeiras do Governo Federal.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SIORG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Sistema de Informações Organizacionais do Governo Federal. Utilizado para mapeamento de responsabilidades administrativas no módulo.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SIAFI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Sistema Integrado de Administração Financeira do Governo Federal. Responsável pelo empenho de fundos e abertura de contas bancárias vinculadas.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OPP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Ordem de Pagamento de Parcerias. Canal de liquidação bancária automatizada e transparente em tempo real via Pix/QR Code.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ACT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Acordo de Cooperação Técnica. Instrumento legal celebrado entre o MGI e o ministério parceiro para reger a utilização da Transferência Simplificada.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Concedente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Órgão ou entidade da Administração Pública Federal responsável pela destinação do recurso e supervisão técnica.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Proponente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Ente subnacional (Estado ou Município) ou OSC que manifesta interesse no edital e executa as metas pactuadas.</w:t>
            </w:r>
          </w:p>
        </w:tc>
      </w:tr>
    </w:tbl>
    <w:p>
      <w:pPr>
        <w:spacing w:before="120" w:after="120"/>
      </w:pPr>
    </w:p>
    <w:p>
      <w:r>
        <w:br w:type="page"/>
      </w:r>
    </w:p>
    <w:p>
      <w:pPr>
        <w:spacing w:before="2400"/>
        <w:jc w:val="center"/>
      </w:pPr>
      <w:r>
        <w:rPr>
          <w:rFonts w:ascii="Verdana" w:hAnsi="Verdana"/>
          <w:color w:val="475569"/>
          <w:sz w:val="21"/>
        </w:rPr>
        <w:t>Secretaria de Gestão e Inovação (SEGES)</w:t>
        <w:br/>
        <w:t>Ministério da Gestão e da Inovação em Serviços Públicos</w:t>
        <w:br/>
        <w:br/>
        <w:t>Canais de Suporte:</w:t>
        <w:br/>
        <w:t>Portal Transferegov: www.gov.br/transferegov</w:t>
        <w:br/>
        <w:t>Email: suporte.transferegov@gestao.gov.br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