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60"/>
        <w:jc w:val="center"/>
      </w:pPr>
      <w:r>
        <w:rPr>
          <w:rFonts w:ascii="Calibri" w:hAnsi="Calibri"/>
          <w:b/>
          <w:color w:val="10B981"/>
          <w:sz w:val="48"/>
        </w:rPr>
        <w:t>CARTILHA DE NIVELAMENTO</w:t>
      </w:r>
    </w:p>
    <w:p>
      <w:pPr>
        <w:spacing w:before="0" w:after="560"/>
        <w:jc w:val="center"/>
      </w:pPr>
      <w:r>
        <w:rPr>
          <w:rFonts w:ascii="Calibri" w:hAnsi="Calibri"/>
          <w:i/>
          <w:color w:val="4FACFE"/>
          <w:sz w:val="26"/>
        </w:rPr>
        <w:t>Módulo de Gestão de Parcerias e Ecossistema TRANSFEREGOV.BR</w:t>
        <w:br/>
        <w:t>Guia Prático para Órgãos Concedentes Federais, Estados, Municípios e OSCs</w:t>
      </w:r>
    </w:p>
    <w:p>
      <w:pPr>
        <w:spacing w:after="480"/>
        <w:jc w:val="center"/>
      </w:pPr>
      <w:r>
        <w:rPr>
          <w:color w:val="DCDCDC"/>
        </w:rPr>
        <w:t>____________________________________________________</w:t>
      </w:r>
    </w:p>
    <w:p>
      <w:pPr>
        <w:keepNext/>
        <w:spacing w:before="360" w:after="160"/>
      </w:pPr>
      <w:r>
        <w:rPr>
          <w:rFonts w:ascii="Calibri" w:hAnsi="Calibri"/>
          <w:b/>
          <w:color w:val="0B111E"/>
          <w:sz w:val="30"/>
        </w:rPr>
        <w:t>1. Sumário Executivo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A modernização dos repasses de recursos na administração pública federal atinge um marco fundamental com a transição para o modelo de Transferência Simplificada no TRANSFEREGOV.BR. Esta mudança é uma resposta direta à necessidade de conferir celeridade e eficiência à execução de políticas públicas de fomento e parcerias. O novo modelo rompe com a rigidez dos convênios tradicionais, adotando uma sistemática baseada em adesão eletrônica, metas padronizadas e monitoramento focado em resultados físicos. Esta cartilha sintetiza as diretrizes estabelecidas pelo Ministério da Gestão e da Inovação em Serviços Públicos (MGI) para servir como guia definitivo na implantação do Módulo de Gestão de Parcerias, aplicando-se de forma ampla a todos os órgãos federais concedentes, estados, municípios e Organizações da Sociedade Civil (OSCs).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2FAF7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B111E"/>
                <w:sz w:val="21"/>
              </w:rPr>
              <w:t>Principais Conclusões da Cartilha: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• Ruptura de Paradigma: A Transferência Simplificada dispensa a celebração de convênios complexos ex-ante, focando no objeto físico.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• Padronização Técnica: O sistema utiliza metas pré-configuradas parametrizadas em cada edital, mitigando a burocracia ex-ante.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• Solução de Estrutura Organizacional: A arquitetura sistêmica utiliza a vinculação de códigos do SIORG para mapeamento de responsabilidade de forma flexível.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• Gestão de Riscos Diferenciada: Regras de exceção (como o defeso eleitoral) são parametrizadas no sistema de acordo com a base normativa de cada política pública.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• Rastreabilidade Financeira: A integração nativa via API com bancos públicos credenciados garante a execução de ordens de pagamento em tempo real.</w:t>
            </w:r>
          </w:p>
        </w:tc>
      </w:tr>
    </w:tbl>
    <w:p>
      <w:pPr>
        <w:spacing w:before="120" w:after="120"/>
      </w:pPr>
    </w:p>
    <w:p>
      <w:pPr>
        <w:keepNext/>
        <w:spacing w:before="360" w:after="160"/>
      </w:pPr>
      <w:r>
        <w:rPr>
          <w:rFonts w:ascii="Calibri" w:hAnsi="Calibri"/>
          <w:b/>
          <w:color w:val="0B111E"/>
          <w:sz w:val="30"/>
        </w:rPr>
        <w:t>2. Contexto Institucional e Base Normativa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A implementação desta modalidade é sustentada por Acordos de Cooperação Técnica (ACT) firmados entre o MGI e os órgãos concedentes. Esses acordos formalizam o suporte do órgão central para a internalização de políticas finalísticas no ecossistema digital de transferências da União, integrando tecnologia e inovação jurídica. A finalidade do TRANSFEREGOV.BR é operacionalizar a Transferência Simplificada, promovendo uma mudança de modelo mental: substitui-se a análise exaustiva de planos de trabalho densos pela adesão eletrônica a programas estruturados. O MGI atua como gestor central da plataforma pública, garantindo a governança sistêmica, enquanto cada órgão concedente mantém autonomia absoluta na gestão de seus fundos específicos e nas regras de negócio de suas políticas.</w:t>
      </w:r>
    </w:p>
    <w:p>
      <w:pPr>
        <w:keepNext/>
        <w:spacing w:before="360" w:after="160"/>
      </w:pPr>
      <w:r>
        <w:rPr>
          <w:rFonts w:ascii="Calibri" w:hAnsi="Calibri"/>
          <w:b/>
          <w:color w:val="0B111E"/>
          <w:sz w:val="30"/>
        </w:rPr>
        <w:t>3. Arquitetura Técnica do TRANSFEREGOV.BR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A robustez sistêmica do TRANSFEREGOV.BR é o que assegura a integridade dos recursos públicos federais. A arquitetura nativa da plataforma conduz o gestor por um fluxo lógico de conformidade operacional.</w:t>
      </w:r>
    </w:p>
    <w:p>
      <w:pPr>
        <w:keepNext/>
        <w:spacing w:before="240" w:after="120"/>
      </w:pPr>
      <w:r>
        <w:rPr>
          <w:rFonts w:ascii="Calibri" w:hAnsi="Calibri"/>
          <w:b/>
          <w:color w:val="10B981"/>
          <w:sz w:val="24"/>
        </w:rPr>
        <w:t>Ambientes de Operação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B111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Ambiente</w:t>
            </w:r>
          </w:p>
        </w:tc>
        <w:tc>
          <w:tcPr>
            <w:tcW w:type="dxa" w:w="3120"/>
            <w:shd w:val="clear" w:color="auto" w:fill="0B111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Finalidade</w:t>
            </w:r>
          </w:p>
        </w:tc>
        <w:tc>
          <w:tcPr>
            <w:tcW w:type="dxa" w:w="3120"/>
            <w:shd w:val="clear" w:color="auto" w:fill="0B111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Impacto nos Dados Reais</w:t>
            </w:r>
          </w:p>
        </w:tc>
      </w:tr>
      <w:tr>
        <w:tc>
          <w:tcPr>
            <w:tcW w:type="dxa" w:w="3120"/>
            <w:shd w:val="clear" w:color="auto" w:fill="F5F7FA"/>
          </w:tcPr>
          <w:p>
            <w:pPr>
              <w:jc w:val="center"/>
            </w:pPr>
            <w:r>
              <w:rPr>
                <w:b/>
                <w:sz w:val="19"/>
              </w:rPr>
              <w:t>Treinamento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sz w:val="19"/>
              </w:rPr>
              <w:t>Simulação e aprendizado das equipes técnicas locais.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sz w:val="19"/>
              </w:rPr>
              <w:t>Nenhum (ambiente de sandbox isolado).</w:t>
            </w:r>
          </w:p>
        </w:tc>
      </w:tr>
      <w:tr>
        <w:tc>
          <w:tcPr>
            <w:tcW w:type="dxa" w:w="3120"/>
            <w:shd w:val="clear" w:color="auto" w:fill="F5F7FA"/>
          </w:tcPr>
          <w:p>
            <w:pPr>
              <w:jc w:val="center"/>
            </w:pPr>
            <w:r>
              <w:rPr>
                <w:b/>
                <w:sz w:val="19"/>
              </w:rPr>
              <w:t>Homologação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sz w:val="19"/>
              </w:rPr>
              <w:t>Testes finais de fluxos e parametrizações de editais.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sz w:val="19"/>
              </w:rPr>
              <w:t>Nenhum (espelho de testes sem efeito contábil).</w:t>
            </w:r>
          </w:p>
        </w:tc>
      </w:tr>
      <w:tr>
        <w:tc>
          <w:tcPr>
            <w:tcW w:type="dxa" w:w="3120"/>
            <w:shd w:val="clear" w:color="auto" w:fill="F5F7FA"/>
          </w:tcPr>
          <w:p>
            <w:pPr>
              <w:jc w:val="center"/>
            </w:pPr>
            <w:r>
              <w:rPr>
                <w:b/>
                <w:sz w:val="19"/>
              </w:rPr>
              <w:t>Produção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sz w:val="19"/>
              </w:rPr>
              <w:t>Uso real para empenho, pagamento e execução oficial.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sz w:val="19"/>
              </w:rPr>
              <w:t>Jurídico e financeiro efetivo e real.</w:t>
            </w:r>
          </w:p>
        </w:tc>
      </w:tr>
    </w:tbl>
    <w:p>
      <w:pPr>
        <w:spacing w:before="160"/>
      </w:pPr>
    </w:p>
    <w:p>
      <w:pPr>
        <w:keepNext/>
        <w:spacing w:before="240" w:after="120"/>
      </w:pPr>
      <w:r>
        <w:rPr>
          <w:rFonts w:ascii="Calibri" w:hAnsi="Calibri"/>
          <w:b/>
          <w:color w:val="10B981"/>
          <w:sz w:val="24"/>
        </w:rPr>
        <w:t>Integrações Críticas e Regras do Sistema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SIORG e Unidade Gestora: Para viabilizar a vinculação administrativa de conselhos ou fundos finalísticos que não possuam código de Unidade Gestora própria, a solução técnica consiste em mapear a responsabilidade operacional via código de SIORG (ex: código do Departamento Gestor de Recursos - 267384). Os servidores finalísticos podem ter perfis associados a múltiplos órgãos no sistema para garantir a governança e segregação completa de papéis.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SIAFI: A execução financeira ocorre de forma integrada, garantindo que o recurso seja reservado e transferido diretamente à conta específica do ente beneficiário logo após a aprovação técnica da manifestação de interesse.</w:t>
      </w:r>
    </w:p>
    <w:p>
      <w:pPr>
        <w:keepNext/>
        <w:spacing w:before="360" w:after="160"/>
      </w:pPr>
      <w:r>
        <w:rPr>
          <w:rFonts w:ascii="Calibri" w:hAnsi="Calibri"/>
          <w:b/>
          <w:color w:val="0B111E"/>
          <w:sz w:val="30"/>
        </w:rPr>
        <w:t>4. Parametrização por Política Pública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O Módulo de Gestão de Parcerias oferece flexibilidade para adaptar-se ao desenho de diferentes políticas finalísticas, utilizando nomenclaturas padronizadas e parâmetros sistêmicos: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• Metas Padronizadas: O órgão concedente predefine metas físicas e quantificáveis no edital (ex: atendimentos efetuados, esterilizações realizadas, equipamentos adquiridos), impedindo o cadastro de metas sem foco prático e agilizando a adesão.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• Recortes e Parametrizações Regionais: Possibilidade de limitar a concorrência e os chamamentos a áreas geográficas específicas (ex: estados da Amazônia Legal, biomas sensíveis ou faixas populacionais), otimizando a distribuição de recursos.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• Habilitação Documental por Anexos: Configuração de critérios jurídicos e envio eletrônico de documentos obrigatórios como condição vinculante no rito operacional do sistema.</w:t>
      </w:r>
    </w:p>
    <w:p>
      <w:pPr>
        <w:keepNext/>
        <w:spacing w:before="360" w:after="160"/>
      </w:pPr>
      <w:r>
        <w:rPr>
          <w:rFonts w:ascii="Calibri" w:hAnsi="Calibri"/>
          <w:b/>
          <w:color w:val="0B111E"/>
          <w:sz w:val="30"/>
        </w:rPr>
        <w:t>5. Jornada da Transferência: Do Chamamento à Execução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A jornada operacional substitui o Plano de Trabalho denso por um rito de adesão eletrônica e anuência, estruturado em etapas sequenciais: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1. Convocatória (Programa): O órgão concedente federal publica a chamada no Módulo de Gestão de Parcerias, configurando as metas padronizadas e prazos.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2. Manifestação de Interesse: O ente subnacional (estado, município ou OSC) adere digitalmente à chamada, anexando a documentação mínima de habilitação.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3. Análise e Validação: O órgão concedente valida de forma ágil a documentação de conformidade técnica e jurídica.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4. Empenho e Abertura de Conta: O sistema realiza a reserva orçamentária no SIAFI e gera automaticamente a conta bancária vinculada via API bancária.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5. Execução e Entrega Física: O ente executa as metas físicas contratadas. A comprovação utiliza o envio de relatórios simplificados integrados a ferramentas setoriais.</w:t>
      </w:r>
    </w:p>
    <w:p>
      <w:pPr>
        <w:keepNext/>
        <w:spacing w:before="360" w:after="160"/>
      </w:pPr>
      <w:r>
        <w:rPr>
          <w:rFonts w:ascii="Calibri" w:hAnsi="Calibri"/>
          <w:b/>
          <w:color w:val="0B111E"/>
          <w:sz w:val="30"/>
        </w:rPr>
        <w:t>6. Dúvidas e Esclarecimentos (FAQ)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8FF"/>
            <w:tcBorders>
              <w:left w:val="single" w:sz="36" w:space="0" w:color="4facfe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B111E"/>
                <w:sz w:val="21"/>
              </w:rPr>
              <w:t>Como vincular o sistema se a área gestora do fundo não tem Unidade Gestora própria?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Resposta: Será utilizado o código de SIORG da unidade superior responsável (ex: código do Departamento de Gestão de Fundos - 267384) com a atribuição de perfis de acesso vinculados no sistema. Resolvido. Criticidade: Alta.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8FF"/>
            <w:tcBorders>
              <w:left w:val="single" w:sz="36" w:space="0" w:color="4facfe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B111E"/>
                <w:sz w:val="21"/>
              </w:rPr>
              <w:t>Os entes parceiros podem realizar repasses a entidades locais do terceiro setor (OSCs)?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Resposta: Sim, o Módulo de Gestão de Parcerias viabiliza a execução por estados, municípios e diretamente por Organizações da Sociedade Civil (OSCs), além de modelos de Estado Repressor. Em análise técnica. Criticidade: Média.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8FF"/>
            <w:tcBorders>
              <w:left w:val="single" w:sz="36" w:space="0" w:color="4facfe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B111E"/>
                <w:sz w:val="21"/>
              </w:rPr>
              <w:t>Como garantir a entrega de planos ou produtos pactuados após a liberação do repasse?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Resposta: Utiliza-se a Cláusula Suspensiva, que condiciona a liberação das parcelas financeiras seguintes à entrega física das etapas anteriores no sistema. Resolvido. Criticidade: Alta.</w:t>
            </w:r>
          </w:p>
        </w:tc>
      </w:tr>
    </w:tbl>
    <w:p>
      <w:pPr>
        <w:spacing w:before="120" w:after="120"/>
      </w:pPr>
    </w:p>
    <w:p>
      <w:pPr>
        <w:keepNext/>
        <w:spacing w:before="360" w:after="160"/>
      </w:pPr>
      <w:r>
        <w:rPr>
          <w:rFonts w:ascii="Calibri" w:hAnsi="Calibri"/>
          <w:b/>
          <w:color w:val="0B111E"/>
          <w:sz w:val="30"/>
        </w:rPr>
        <w:t>7. Pontos de Atenção e Gestão de Riscos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FF5F5"/>
            <w:tcBorders>
              <w:left w:val="single" w:sz="36" w:space="0" w:color="dc3545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B111E"/>
                <w:sz w:val="21"/>
              </w:rPr>
              <w:t>Risco 1: "Sintoma do Convênio" (Resistência Técnica)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O maior risco operacional é a resistência das áreas técnicas em tentar converter a transferência simplificada em um convênio tradicional, exigindo exames documentais ex-ante exaustivos. A equipe deve focar estritamente no monitoramento do resultado físico entregue para não paralisar o fluxo célere.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FFDF0"/>
            <w:tcBorders>
              <w:left w:val="single" w:sz="36" w:space="0" w:color="ffc107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B111E"/>
                <w:sz w:val="21"/>
              </w:rPr>
              <w:t>Risco 2: Prazos do Defeso Eleitoral Ordinário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Observância rígida das vedações da legislação eleitoral federal. Note que apenas programas finalísticos em caráter de emergência ou calamidade pública decretada (com portaria governamental ativa) possuem prerrogativas e exceções de repasse; políticas comuns ordinárias devem respeitar estritamente o período impeditivo.</w:t>
            </w:r>
          </w:p>
        </w:tc>
      </w:tr>
    </w:tbl>
    <w:p>
      <w:pPr>
        <w:spacing w:before="120" w:after="120"/>
      </w:pPr>
    </w:p>
    <w:p>
      <w:pPr>
        <w:keepNext/>
        <w:spacing w:before="360" w:after="160"/>
      </w:pPr>
      <w:r>
        <w:rPr>
          <w:rFonts w:ascii="Calibri" w:hAnsi="Calibri"/>
          <w:b/>
          <w:color w:val="0B111E"/>
          <w:sz w:val="30"/>
        </w:rPr>
        <w:t>8. Boas Práticas e Recomendações Operacionais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• Uso Prévia de Sandbox: Recomenda-se que as equipes utilizem o ambiente de Treinamento (Sandbox) livre, onde 90% das telas estão acessíveis para testes sem risco de geração de obrigações contábeis reais.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• Envolvimento Multidisciplinar: Envolver as equipes técnicas finalísticas desde a fase de simulação no sistema para validar as metas padronizadas e parâmetros cadastrados.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• Canais de Diálogo Permanentes: Manter salas virtuais ou chats ágeis ativos para resolução de dúvidas e homologação de metas com o MGI.</w:t>
      </w:r>
    </w:p>
    <w:p>
      <w:pPr>
        <w:keepNext/>
        <w:spacing w:before="360" w:after="160"/>
      </w:pPr>
      <w:r>
        <w:rPr>
          <w:rFonts w:ascii="Calibri" w:hAnsi="Calibri"/>
          <w:b/>
          <w:color w:val="0B111E"/>
          <w:sz w:val="30"/>
        </w:rPr>
        <w:t>9. Glossário Técnico</w:t>
      </w:r>
    </w:p>
    <w:p>
      <w:pPr>
        <w:spacing w:after="80"/>
      </w:pPr>
      <w:r>
        <w:rPr>
          <w:rFonts w:ascii="Calibri" w:hAnsi="Calibri"/>
          <w:b/>
          <w:color w:val="0B111E"/>
          <w:sz w:val="20"/>
        </w:rPr>
        <w:t xml:space="preserve">CLÁUSULA SUSPENSIVA: </w:t>
      </w:r>
      <w:r>
        <w:rPr>
          <w:rFonts w:ascii="Calibri" w:hAnsi="Calibri"/>
          <w:color w:val="505050"/>
          <w:sz w:val="20"/>
        </w:rPr>
        <w:t>Condição legal que suspende a liberação financeira seguinte até que a meta anterior seja comprovada.</w:t>
      </w:r>
    </w:p>
    <w:p>
      <w:pPr>
        <w:spacing w:after="80"/>
      </w:pPr>
      <w:r>
        <w:rPr>
          <w:rFonts w:ascii="Calibri" w:hAnsi="Calibri"/>
          <w:b/>
          <w:color w:val="0B111E"/>
          <w:sz w:val="20"/>
        </w:rPr>
        <w:t xml:space="preserve">ENTE SUB-NACIONAL: </w:t>
      </w:r>
      <w:r>
        <w:rPr>
          <w:rFonts w:ascii="Calibri" w:hAnsi="Calibri"/>
          <w:color w:val="505050"/>
          <w:sz w:val="20"/>
        </w:rPr>
        <w:t>Estado, Distrito Federal ou Município beneficiário direto do repasse federal.</w:t>
      </w:r>
    </w:p>
    <w:p>
      <w:pPr>
        <w:spacing w:after="80"/>
      </w:pPr>
      <w:r>
        <w:rPr>
          <w:rFonts w:ascii="Calibri" w:hAnsi="Calibri"/>
          <w:b/>
          <w:color w:val="0B111E"/>
          <w:sz w:val="20"/>
        </w:rPr>
        <w:t xml:space="preserve">PARAMETRIZAÇÃO: </w:t>
      </w:r>
      <w:r>
        <w:rPr>
          <w:rFonts w:ascii="Calibri" w:hAnsi="Calibri"/>
          <w:color w:val="505050"/>
          <w:sz w:val="20"/>
        </w:rPr>
        <w:t>Configuração das regras de negócio, metas, prazos e anexos de uma política no sistema.</w:t>
      </w:r>
    </w:p>
    <w:p>
      <w:pPr>
        <w:spacing w:after="80"/>
      </w:pPr>
      <w:r>
        <w:rPr>
          <w:rFonts w:ascii="Calibri" w:hAnsi="Calibri"/>
          <w:b/>
          <w:color w:val="0B111E"/>
          <w:sz w:val="20"/>
        </w:rPr>
        <w:t xml:space="preserve">RELATÓRIO DE EXECUÇÃO: </w:t>
      </w:r>
      <w:r>
        <w:rPr>
          <w:rFonts w:ascii="Calibri" w:hAnsi="Calibri"/>
          <w:color w:val="505050"/>
          <w:sz w:val="20"/>
        </w:rPr>
        <w:t>Documento simplificado para comprovação do cumprimento das metas físicas pactuadas.</w:t>
      </w:r>
    </w:p>
    <w:p>
      <w:pPr>
        <w:spacing w:after="80"/>
      </w:pPr>
      <w:r>
        <w:rPr>
          <w:rFonts w:ascii="Calibri" w:hAnsi="Calibri"/>
          <w:b/>
          <w:color w:val="0B111E"/>
          <w:sz w:val="20"/>
        </w:rPr>
        <w:t xml:space="preserve">SIAFI: </w:t>
      </w:r>
      <w:r>
        <w:rPr>
          <w:rFonts w:ascii="Calibri" w:hAnsi="Calibri"/>
          <w:color w:val="505050"/>
          <w:sz w:val="20"/>
        </w:rPr>
        <w:t>Sistema Integrado de Administração Financeira do Governo Federal.</w:t>
      </w:r>
    </w:p>
    <w:p>
      <w:pPr>
        <w:spacing w:after="80"/>
      </w:pPr>
      <w:r>
        <w:rPr>
          <w:rFonts w:ascii="Calibri" w:hAnsi="Calibri"/>
          <w:b/>
          <w:color w:val="0B111E"/>
          <w:sz w:val="20"/>
        </w:rPr>
        <w:t xml:space="preserve">SIORG: </w:t>
      </w:r>
      <w:r>
        <w:rPr>
          <w:rFonts w:ascii="Calibri" w:hAnsi="Calibri"/>
          <w:color w:val="505050"/>
          <w:sz w:val="20"/>
        </w:rPr>
        <w:t>Sistema de Informações Organizacionais do Governo Federal, utilizado para identificar unidades administrativas.</w:t>
      </w:r>
    </w:p>
    <w:p>
      <w:pPr>
        <w:spacing w:after="80"/>
      </w:pPr>
      <w:r>
        <w:rPr>
          <w:rFonts w:ascii="Calibri" w:hAnsi="Calibri"/>
          <w:b/>
          <w:color w:val="0B111E"/>
          <w:sz w:val="20"/>
        </w:rPr>
        <w:t xml:space="preserve">TRANSFEREGOV.BR: </w:t>
      </w:r>
      <w:r>
        <w:rPr>
          <w:rFonts w:ascii="Calibri" w:hAnsi="Calibri"/>
          <w:color w:val="505050"/>
          <w:sz w:val="20"/>
        </w:rPr>
        <w:t>Plataforma digital integrada da União para a operacionalização e controle das parcerias federais.</w:t>
      </w:r>
    </w:p>
    <w:p>
      <w:pPr>
        <w:spacing w:after="80"/>
      </w:pPr>
      <w:r>
        <w:rPr>
          <w:rFonts w:ascii="Calibri" w:hAnsi="Calibri"/>
          <w:b/>
          <w:color w:val="0B111E"/>
          <w:sz w:val="20"/>
        </w:rPr>
        <w:t xml:space="preserve">TRANSFERÊNCIA SIMPLIFICADA: </w:t>
      </w:r>
      <w:r>
        <w:rPr>
          <w:rFonts w:ascii="Calibri" w:hAnsi="Calibri"/>
          <w:color w:val="505050"/>
          <w:sz w:val="20"/>
        </w:rPr>
        <w:t>Modalidade de repasse célere baseada em adesão e metas padronizadas, sem convênio tradicional.</w:t>
      </w:r>
    </w:p>
    <w:p>
      <w:pPr>
        <w:spacing w:after="80"/>
      </w:pPr>
      <w:r>
        <w:rPr>
          <w:rFonts w:ascii="Calibri" w:hAnsi="Calibri"/>
          <w:b/>
          <w:color w:val="0B111E"/>
          <w:sz w:val="20"/>
        </w:rPr>
        <w:t xml:space="preserve">UNIDADE GESTORA (UG): </w:t>
      </w:r>
      <w:r>
        <w:rPr>
          <w:rFonts w:ascii="Calibri" w:hAnsi="Calibri"/>
          <w:color w:val="505050"/>
          <w:sz w:val="20"/>
        </w:rPr>
        <w:t>Unidade orçamentária responsável pela execução financeira dos recursos.</w:t>
      </w:r>
    </w:p>
    <w:p>
      <w:pPr>
        <w:keepNext/>
        <w:spacing w:before="360" w:after="160"/>
      </w:pPr>
      <w:r>
        <w:rPr>
          <w:rFonts w:ascii="Calibri" w:hAnsi="Calibri"/>
          <w:b/>
          <w:color w:val="0B111E"/>
          <w:sz w:val="30"/>
        </w:rPr>
        <w:t>10. Materiais de Apoio e Suporte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• Ambiente de Treinamento: Acesso via ambiente de laboratório para simulação da jornada.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• Tutoriais Virtuais: Guias e roteiros passo a passo de navegação nas telas do Módulo de Gestão de Parcerias.</w:t>
      </w:r>
    </w:p>
    <w:p>
      <w:pPr>
        <w:spacing w:before="0" w:after="160" w:line="276" w:lineRule="auto"/>
      </w:pPr>
      <w:r>
        <w:rPr>
          <w:rFonts w:ascii="Calibri" w:hAnsi="Calibri"/>
          <w:color w:val="3C3C3C"/>
          <w:sz w:val="22"/>
        </w:rPr>
        <w:t>• Central de Suporte: Canais dedicados de suporte do MGI para dúvidas conceituais e operacionais.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