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Programa de Capacitação Técnica e Gestão Estratégica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MATERIAL ORIENTATIVO — FORMAÇÃO AMPLIADA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Ordem de Pagamento de Parcerias (OPP): Modernização da Execução de Recursos Federais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20 de agosto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Material Orientativo — Formação Ampliada</w:t>
      </w:r>
    </w:p>
    <w:p>
      <w:pPr>
        <w:pStyle w:val="Heading3"/>
        <w:spacing w:before="240" w:after="120"/>
      </w:pPr>
      <w:r>
        <w:t xml:space="preserve">Ordem de Pagamento de Parcerias (OPP): Modernização da Execução de Recursos Federais</w:t>
      </w:r>
    </w:p>
    <w:p>
      <w:pPr>
        <w:spacing w:before="60" w:after="120" w:line="276"/>
      </w:pPr>
      <w:r>
        <w:rPr>
          <w:b/>
          <w:bCs/>
        </w:rPr>
        <w:t xml:space="preserve">Propósito deste material:</w:t>
      </w:r>
      <w:r>
        <w:t xml:space="preserve"> capacitar gestores, servidores e parceiros (executivo, estados, municípios e OSCs) sobre a nova sistemática de pagamento de parcerias. Conteúdo genérico e adaptável, sem vínculo a órgão específico.</w:t>
      </w:r>
    </w:p>
    <w:p>
      <w:pPr>
        <w:pStyle w:val="Heading3"/>
        <w:spacing w:before="240" w:after="120"/>
      </w:pPr>
      <w:r>
        <w:t xml:space="preserve">1. Apresentador 1 — Visão Estratégica e Institucional</w:t>
      </w:r>
    </w:p>
    <w:p>
      <w:r>
        <w:t xml:space="preserve">1.1. Introdução</w:t>
      </w:r>
    </w:p>
    <w:p>
      <w:pPr>
        <w:spacing w:before="60" w:after="120" w:line="276"/>
        <w:jc w:val="both"/>
      </w:pPr>
      <w:r>
        <w:t xml:space="preserve">A modernização da gestão pública exige uma cooperação estreita entre órgãos. É fundamental destacar a importância da parceria entre o </w:t>
      </w:r>
      <w:r>
        <w:rPr>
          <w:b/>
          <w:bCs/>
        </w:rPr>
        <w:t xml:space="preserve">órgão gestor de recursos</w:t>
      </w:r>
      <w:r>
        <w:t xml:space="preserve"> e o </w:t>
      </w:r>
      <w:r>
        <w:rPr>
          <w:b/>
          <w:bCs/>
        </w:rPr>
        <w:t xml:space="preserve">órgão central de gestão e inovação</w:t>
      </w:r>
      <w:r>
        <w:t xml:space="preserve"> em serviços públicos. A área finalística tem atuado como parceira ativa e estratégica desde a concepção do antigo sistema de convênios, evoluindo agora para soluções mais robustas.</w:t>
      </w:r>
    </w:p>
    <w:p>
      <w:pPr>
        <w:spacing w:before="60" w:after="120" w:line="276"/>
        <w:jc w:val="both"/>
      </w:pPr>
      <w:r>
        <w:t xml:space="preserve">O tema central deste módulo é a apresentação da </w:t>
      </w:r>
      <w:r>
        <w:rPr>
          <w:b/>
          <w:bCs/>
        </w:rPr>
        <w:t xml:space="preserve">Ordem de Pagamento de Parcerias (OPP)</w:t>
      </w:r>
      <w:r>
        <w:t xml:space="preserve">. Esta ferramenta representa um avanço significativo na execução dos recursos federais, promovendo níveis superiores de rastreabilidade, controle e agilidade operacional para todos os entes envolvidos.</w:t>
      </w:r>
    </w:p>
    <w:p>
      <w:r>
        <w:t xml:space="preserve">1.2. Desenvolvimento</w:t>
      </w:r>
    </w:p>
    <w:p>
      <w:pPr>
        <w:spacing w:before="60" w:after="120" w:line="276"/>
        <w:jc w:val="both"/>
      </w:pPr>
      <w:r>
        <w:t xml:space="preserve">A evolução do sistema ocorreu em ondas de cooperação técnica progressiva: iniciou-se pela integração das informações, seguida pela automação de convênios, Termos de Execução Descentralizada (TEDs) e transferências fundo a fundo das emendas parlamentares. A </w:t>
      </w:r>
      <w:r>
        <w:rPr>
          <w:b/>
          <w:bCs/>
        </w:rPr>
        <w:t xml:space="preserve">OPP</w:t>
      </w:r>
      <w:r>
        <w:t xml:space="preserve"> surge como a próxima etapa lógica de automação voltada estritamente à execução financeira.</w:t>
      </w:r>
    </w:p>
    <w:p>
      <w:pPr>
        <w:spacing w:before="60" w:after="120" w:line="276"/>
        <w:jc w:val="both"/>
      </w:pPr>
      <w:r>
        <w:t xml:space="preserve">Devido a determinações judiciais, o cronograma original de três anos foi comprimido para </w:t>
      </w:r>
      <w:r>
        <w:rPr>
          <w:b/>
          <w:bCs/>
        </w:rPr>
        <w:t xml:space="preserve">180 dias</w:t>
      </w:r>
      <w:r>
        <w:t xml:space="preserve">, exigindo esforço concentrado das equipes técnicas. O órgão repassador atua como multiplicador, iniciando o processo de capacitação estruturada por ser o ente que mais executa recursos federais no país.</w:t>
      </w:r>
    </w:p>
    <w:p>
      <w:pPr>
        <w:spacing w:before="60" w:after="120" w:line="276"/>
        <w:jc w:val="both"/>
      </w:pPr>
      <w:r>
        <w:t xml:space="preserve">A OPP visa eliminar os gargalos do modelo anterior de ordem bancária de transferência voluntária, extinguindo o modelo "conveniente", onde o beneficiário realizava saques e preenchia justificativas manuais sem crítica sistêmica. No novo modelo, a operação de pagamento aos fornecedores é responsabilidade dos beneficiários na ponta, enquanto o órgão repassador foca na fiscalização e monitoramento, simplificando a futura prestação de contas.</w:t>
      </w:r>
    </w:p>
    <w:p>
      <w:r>
        <w:t xml:space="preserve">1.3. Opiniões e Posicionamentos (OPP)</w:t>
      </w:r>
    </w:p>
    <w:p>
      <w:pPr>
        <w:spacing w:before="60" w:after="120" w:line="276"/>
        <w:jc w:val="both"/>
      </w:pPr>
      <w:r>
        <w:t xml:space="preserve">O sistema deve ser encarado como um detalhe operacional; o foco do gestor público deve estar integralmente na </w:t>
      </w:r>
      <w:r>
        <w:rPr>
          <w:b/>
          <w:bCs/>
        </w:rPr>
        <w:t xml:space="preserve">política pública</w:t>
      </w:r>
      <w:r>
        <w:t xml:space="preserve">. O sistema eletrônico é apenas um meio automatizado para facilitar o cotidiano. O recurso financeiro é, em última análise, uma ferramenta para transformar a realidade dos municípios e melhorar os serviços prestados à população.</w:t>
      </w:r>
    </w:p>
    <w:p>
      <w:pPr>
        <w:spacing w:before="60" w:after="120" w:line="276"/>
        <w:jc w:val="both"/>
      </w:pPr>
      <w:r>
        <w:t xml:space="preserve">A transição para a OPP representa um grande desafio coletivo e uma profunda </w:t>
      </w:r>
      <w:r>
        <w:rPr>
          <w:b/>
          <w:bCs/>
        </w:rPr>
        <w:t xml:space="preserve">mudança de cultura operacional</w:t>
      </w:r>
      <w:r>
        <w:t xml:space="preserve">. Por ser uma plataforma aberta e adaptável, o órgão central permanece receptivo a críticas e sugestões para ajustar a ferramenta às necessidades reais do negócio público.</w:t>
      </w:r>
    </w:p>
    <w:p>
      <w:r>
        <w:t xml:space="preserve">1.4. Dúvidas</w:t>
      </w:r>
    </w:p>
    <w:p>
      <w:pPr>
        <w:spacing w:before="60" w:after="120" w:line="276"/>
        <w:jc w:val="both"/>
      </w:pPr>
      <w:r>
        <w:t xml:space="preserve">Os principais desafios identificados residem na capacitação célere de milhares de beneficiários descentralizados e na parametrização do passivo de mais de </w:t>
      </w:r>
      <w:r>
        <w:rPr>
          <w:b/>
          <w:bCs/>
        </w:rPr>
        <w:t xml:space="preserve">63 mil contas ativas</w:t>
      </w:r>
      <w:r>
        <w:t xml:space="preserve"> existentes. Além disso, buscam-se definições sobre as restrições normativas exatas para o uso do Pix na ponta, incluindo modalidades como Pix Saque e Pix Troco.</w:t>
      </w:r>
    </w:p>
    <w:p>
      <w:r>
        <w:t xml:space="preserve">1.5. Soluções</w:t>
      </w:r>
    </w:p>
    <w:p>
      <w:pPr>
        <w:spacing w:before="60" w:after="120" w:line="276"/>
        <w:jc w:val="both"/>
      </w:pPr>
      <w:r>
        <w:t xml:space="preserve">Foi estabelecido o prazo limite improrrogável de </w:t>
      </w:r>
      <w:r>
        <w:rPr>
          <w:b/>
          <w:bCs/>
        </w:rPr>
        <w:t xml:space="preserve">dezembro de 2026</w:t>
      </w:r>
      <w:r>
        <w:t xml:space="preserve"> para a migração obrigatória de todas as parcerias para o modelo OPP. As soluções incluem o uso de aplicativo móvel para autorizações financeiras via smartphone e uma estratégia robusta de multiplicadores com tutoriais e vídeos de apoio. A articulação será centralizada pela rede de parcerias para ajustes contínuos.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2. Apresentador 2 — Visão Técnica e Operacional</w:t>
      </w:r>
    </w:p>
    <w:p>
      <w:r>
        <w:t xml:space="preserve">2.1. Introdução</w:t>
      </w:r>
    </w:p>
    <w:p>
      <w:pPr>
        <w:spacing w:before="60" w:after="120" w:line="276"/>
        <w:jc w:val="both"/>
      </w:pPr>
      <w:r>
        <w:t xml:space="preserve">Com base em uma trajetória técnica iniciada em 2010 e vasta experiência em negócios bancários, esta seção detalha o fluxo de funcionamento da OPP. O foco reside na arquitetura tecnológica, nos mecanismos de segurança cadastral e na integração via </w:t>
      </w:r>
      <w:r>
        <w:rPr>
          <w:b/>
          <w:bCs/>
        </w:rPr>
        <w:t xml:space="preserve">API</w:t>
      </w:r>
      <w:r>
        <w:t xml:space="preserve"> com a rede bancária nacional.</w:t>
      </w:r>
    </w:p>
    <w:p>
      <w:r>
        <w:t xml:space="preserve">2.2. Desenvolvimento</w:t>
      </w:r>
    </w:p>
    <w:p>
      <w:pPr>
        <w:spacing w:before="60" w:after="120" w:line="276"/>
        <w:jc w:val="both"/>
      </w:pPr>
      <w:r>
        <w:t xml:space="preserve">O sistema é segmentado em módulos (Discricionárias, Fundo a Fundo, Transferências Especiais, TED e Gestão de Parcerias). A OPP opera no Módulo de Gestão de Parcerias, conectando-se diretamente aos bancos via API em tempo real, realizando um </w:t>
      </w:r>
      <w:r>
        <w:rPr>
          <w:i/>
          <w:iCs/>
        </w:rPr>
        <w:t xml:space="preserve">bypass</w:t>
      </w:r>
      <w:r>
        <w:t xml:space="preserve"> no sistema contábil tradicional para evitar atrasos de processamento em lote (</w:t>
      </w:r>
      <w:r>
        <w:rPr>
          <w:i/>
          <w:iCs/>
        </w:rPr>
        <w:t xml:space="preserve">batch</w:t>
      </w:r>
      <w:r>
        <w:t xml:space="preserve">).</w:t>
      </w:r>
    </w:p>
    <w:p>
      <w:pPr>
        <w:spacing w:before="60" w:after="120" w:line="276"/>
        <w:jc w:val="both"/>
      </w:pPr>
      <w:r>
        <w:t xml:space="preserve">Atualmente, estão homologados a </w:t>
      </w:r>
      <w:r>
        <w:rPr>
          <w:b/>
          <w:bCs/>
        </w:rPr>
        <w:t xml:space="preserve">Caixa Econômica Federal, Banco do Brasil e Banco do Nordeste</w:t>
      </w:r>
      <w:r>
        <w:t xml:space="preserve">. A abertura de conta é instantânea (3 a 5 segundos na Caixa). A minuta de pagamento permite quitar boletos, tributos, tarifas e chaves Pix diretamente da conta do instrumento, eliminando transferências para contas gerais da entidade.</w:t>
      </w:r>
    </w:p>
    <w:p>
      <w:pPr>
        <w:spacing w:before="60" w:after="120" w:line="276"/>
        <w:jc w:val="both"/>
      </w:pPr>
      <w:r>
        <w:t xml:space="preserve">Por segurança e regras do Banco Central, as ordens ocorrem de segunda a sexta, das 07h às 19h30, com autorização necessária até as 20h do mesmo dia. Não há limites de teto para pagamentos Pix, permitindo transações de grande escala (ex: </w:t>
      </w:r>
      <w:r>
        <w:rPr>
          <w:b/>
          <w:bCs/>
        </w:rPr>
        <w:t xml:space="preserve">R$ 5 milhões</w:t>
      </w:r>
      <w:r>
        <w:t xml:space="preserve">). O acesso é regido por dupla autorização entre perfis de Operador, Gestor e Ordenador de Despesa.</w:t>
      </w:r>
    </w:p>
    <w:p>
      <w:pPr>
        <w:spacing w:before="60" w:after="120" w:line="276"/>
        <w:jc w:val="both"/>
      </w:pPr>
      <w:r>
        <w:t xml:space="preserve">A gestão de </w:t>
      </w:r>
      <w:r>
        <w:rPr>
          <w:b/>
          <w:bCs/>
        </w:rPr>
        <w:t xml:space="preserve">Representantes Legais Autorizados (RLA)</w:t>
      </w:r>
      <w:r>
        <w:t xml:space="preserve"> é transmitida exclusivamente pelo banco via API, sem inclusão manual no sistema. O modelo utiliza exclusão lógica (preservação de auditoria) e extratos detalhados D-1, permitindo a visualização de sublançamentos em pagamentos fracionados.</w:t>
      </w:r>
    </w:p>
    <w:p>
      <w:r>
        <w:t xml:space="preserve">2.3. Opiniões e Posicionamentos (OPP)</w:t>
      </w:r>
    </w:p>
    <w:p>
      <w:pPr>
        <w:spacing w:before="60" w:after="120" w:line="276"/>
        <w:jc w:val="both"/>
      </w:pPr>
      <w:r>
        <w:t xml:space="preserve">Defende-se a integridade cadastral rígida, sem flexibilização para inserção manual de movimentadores fora da validação bancária. A rejeição à edição de minutas enviadas visa manter a segurança; erros devem resultar em novas transações. A segregação de funções é inegociável para evitar riscos de governança.</w:t>
      </w:r>
    </w:p>
    <w:p>
      <w:r>
        <w:t xml:space="preserve">2.4. Dúvidas</w:t>
      </w:r>
    </w:p>
    <w:p>
      <w:pPr>
        <w:spacing w:before="60" w:after="120" w:line="276"/>
        <w:jc w:val="both"/>
      </w:pPr>
      <w:r>
        <w:t xml:space="preserve">Persistem dúvidas sobre a divergência de regras internas entre bancos quanto aos CPFs autorizadores e o feedback de qual CPF específico assinou a transação final. Também são pontos de atenção a adequação à </w:t>
      </w:r>
      <w:r>
        <w:rPr>
          <w:b/>
          <w:bCs/>
        </w:rPr>
        <w:t xml:space="preserve">reforma tributária (IVA)</w:t>
      </w:r>
      <w:r>
        <w:t xml:space="preserve"> e o detalhamento de extratos de fundos de investimentos.</w:t>
      </w:r>
    </w:p>
    <w:p>
      <w:r>
        <w:t xml:space="preserve">2.5. Soluções</w:t>
      </w:r>
    </w:p>
    <w:p>
      <w:pPr>
        <w:spacing w:before="60" w:after="120" w:line="276"/>
        <w:jc w:val="both"/>
      </w:pPr>
      <w:r>
        <w:t xml:space="preserve">Está prevista para setembro a ferramenta de bloqueio/desbloqueio direto de contas pelo órgão concedente. A integração com o sistema de pagamentos ao Tesouro permitirá a devolução de saldos via API. Além disso, a </w:t>
      </w:r>
      <w:r>
        <w:rPr>
          <w:b/>
          <w:bCs/>
        </w:rPr>
        <w:t xml:space="preserve">categorização de despesas vinculadas</w:t>
      </w:r>
      <w:r>
        <w:t xml:space="preserve"> impedirá desvios de finalidade na ponta, gerando dados blindados para órgãos de controle.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3. Resumo Geral</w:t>
      </w:r>
    </w:p>
    <w:p>
      <w:pPr>
        <w:spacing w:before="60" w:after="120" w:line="276"/>
        <w:jc w:val="both"/>
      </w:pPr>
      <w:r>
        <w:t xml:space="preserve">A implementação da Ordem de Pagamento de Parcerias (OPP) consolida os seguintes pilares estratégicos: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Disrupção tecnológica:</w:t>
      </w:r>
      <w:r>
        <w:t xml:space="preserve"> Fim do processamento </w:t>
      </w:r>
      <w:r>
        <w:rPr>
          <w:i/>
          <w:iCs/>
        </w:rPr>
        <w:t xml:space="preserve">batch</w:t>
      </w:r>
      <w:r>
        <w:t xml:space="preserve"> e adoção de integrações via API em tempo real com bancos públicos.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Desburocratização:</w:t>
      </w:r>
      <w:r>
        <w:t xml:space="preserve"> Foco na entrega da política pública através de pagamentos ágeis via Pix e QR Codes.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Segurança Blindada:</w:t>
      </w:r>
      <w:r>
        <w:t xml:space="preserve"> Governança baseada em dupla autorização, conta Gov.br Ouro e validação bancária de RLAs.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Construção em Ondas:</w:t>
      </w:r>
      <w:r>
        <w:t xml:space="preserve"> Metodologia ágil com entregas incrementais e conclusão prevista para </w:t>
      </w:r>
      <w:r>
        <w:rPr>
          <w:b/>
          <w:bCs/>
        </w:rPr>
        <w:t xml:space="preserve">dezembro de 2026</w:t>
      </w:r>
      <w:r>
        <w:t xml:space="preserve">.</w:t>
      </w:r>
    </w:p>
    <w:p>
      <w:pPr>
        <w:spacing w:before="60" w:after="120" w:line="276"/>
        <w:jc w:val="center"/>
      </w:pPr>
      <w:r>
        <w:rPr>
          <w:i/>
          <w:iCs/>
          <w:color w:val="9E9E9E"/>
          <w:sz w:val="18"/>
          <w:szCs w:val="18"/>
        </w:rPr>
        <w:t xml:space="preserve">Documento elaborado em 20 de agosto de 2026. As informações contidas são de responsabilidade do solicitante.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2026-08-20T18:03:01.127Z</dcterms:created>
  <dcterms:modified xsi:type="dcterms:W3CDTF">2026-08-20T18:03:01.127Z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