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kdwsfka60hxj" w:id="0"/>
      <w:bookmarkEnd w:id="0"/>
      <w:r w:rsidDel="00000000" w:rsidR="00000000" w:rsidRPr="00000000">
        <w:rPr>
          <w:rtl w:val="0"/>
        </w:rPr>
        <w:t xml:space="preserve">Relatório Técnico e Cartilha de Nivelamento: Esteira de Parcerias e Plataforma TRANSFEREGOV no Ministério do Meio Ambiente e Mudança do Clima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gsed9it1zvuq" w:id="1"/>
      <w:bookmarkEnd w:id="1"/>
      <w:r w:rsidDel="00000000" w:rsidR="00000000" w:rsidRPr="00000000">
        <w:rPr>
          <w:rtl w:val="0"/>
        </w:rPr>
        <w:t xml:space="preserve">1. Sumário Executivo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modernização dos repasses de recursos no Ministério do Meio Ambiente e Mudança do Clima (MMA) atinge um marco fundamental com a transição para o modelo de  </w:t>
      </w:r>
      <w:r w:rsidDel="00000000" w:rsidR="00000000" w:rsidRPr="00000000">
        <w:rPr>
          <w:b w:val="1"/>
          <w:bCs w:val="1"/>
          <w:rtl w:val="0"/>
        </w:rPr>
        <w:t xml:space="preserve">Transferência Simplificada</w:t>
      </w:r>
      <w:r w:rsidDel="00000000" w:rsidR="00000000" w:rsidRPr="00000000">
        <w:rPr>
          <w:rtl w:val="0"/>
        </w:rPr>
        <w:t xml:space="preserve"> . Esta mudança é uma resposta direta à evolução legislativa do Fundo Nacional do Meio Ambiente (FNMA) e à necessidade de conferir celeridade e eficiência à execução de políticas públicas críticas. O novo modelo rompe com a rigidez dos convênios tradicionais, adotando uma sistemática baseada em adesão, metas padronizadas e monitoramento por resultados, operacionalizada integralmente via Plataforma TRANSFEREGOV.Este documento sintetiza as diretrizes operacionais estabelecidas entre o Ministério da Gestão e da Inovação em Serviços Públicos (MGI) e o MMA, servindo como guia definitivo para a implementação da nova esteira de parcerias do FNMA.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5waz4fp0p5fn" w:id="2"/>
      <w:bookmarkEnd w:id="2"/>
      <w:r w:rsidDel="00000000" w:rsidR="00000000" w:rsidRPr="00000000">
        <w:rPr>
          <w:rtl w:val="0"/>
        </w:rPr>
        <w:t xml:space="preserve">Principais Conclusões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Ruptura de Paradigma:</w:t>
      </w:r>
      <w:r w:rsidDel="00000000" w:rsidR="00000000" w:rsidRPr="00000000">
        <w:rPr>
          <w:rtl w:val="0"/>
        </w:rPr>
        <w:t xml:space="preserve">  A Transferência Simplificada dispensa a celebração de convênios ou instrumentos congêneres, reduzindo o esforço administrativo e focando na entrega final da política pública.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Padronização Técnica:</w:t>
      </w:r>
      <w:r w:rsidDel="00000000" w:rsidR="00000000" w:rsidRPr="00000000">
        <w:rPr>
          <w:rtl w:val="0"/>
        </w:rPr>
        <w:t xml:space="preserve">  O sistema utiliza metas pré-configuradas para os programas  </w:t>
      </w:r>
      <w:r w:rsidDel="00000000" w:rsidR="00000000" w:rsidRPr="00000000">
        <w:rPr>
          <w:b w:val="1"/>
          <w:bCs w:val="1"/>
          <w:rtl w:val="0"/>
        </w:rPr>
        <w:t xml:space="preserve">Propatinhas</w:t>
      </w:r>
      <w:r w:rsidDel="00000000" w:rsidR="00000000" w:rsidRPr="00000000">
        <w:rPr>
          <w:rtl w:val="0"/>
        </w:rPr>
        <w:t xml:space="preserve">  e  </w:t>
      </w:r>
      <w:r w:rsidDel="00000000" w:rsidR="00000000" w:rsidRPr="00000000">
        <w:rPr>
          <w:b w:val="1"/>
          <w:bCs w:val="1"/>
          <w:rtl w:val="0"/>
        </w:rPr>
        <w:t xml:space="preserve">Prévfogo</w:t>
      </w:r>
      <w:r w:rsidDel="00000000" w:rsidR="00000000" w:rsidRPr="00000000">
        <w:rPr>
          <w:rtl w:val="0"/>
        </w:rPr>
        <w:t xml:space="preserve"> , mitigando a discricionariedade técnica e assegurando conformidade documental  </w:t>
      </w:r>
      <w:r w:rsidDel="00000000" w:rsidR="00000000" w:rsidRPr="00000000">
        <w:rPr>
          <w:i w:val="1"/>
          <w:iCs w:val="1"/>
          <w:rtl w:val="0"/>
        </w:rPr>
        <w:t xml:space="preserve">ex-ante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Solução de Estrutura Organizacional:</w:t>
      </w:r>
      <w:r w:rsidDel="00000000" w:rsidR="00000000" w:rsidRPr="00000000">
        <w:rPr>
          <w:rtl w:val="0"/>
        </w:rPr>
        <w:t xml:space="preserve">  A arquitetura sistêmica utilizará o código do SIORG do Departamento de Gestão de Fundos e de Recursos Externos (267384) para viabilizar a gestão operacional do FNMA.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Gestão de Riscos Diferenciada:</w:t>
      </w:r>
      <w:r w:rsidDel="00000000" w:rsidR="00000000" w:rsidRPr="00000000">
        <w:rPr>
          <w:rtl w:val="0"/>
        </w:rPr>
        <w:t xml:space="preserve">  Identificou-se que o programa Prévfogo possui prerrogativa de repasse durante o defeso eleitoral por força de portaria de emergência, diferentemente do Propatinhas.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Rastreabilidade Financeira:</w:t>
      </w:r>
      <w:r w:rsidDel="00000000" w:rsidR="00000000" w:rsidRPr="00000000">
        <w:rPr>
          <w:rtl w:val="0"/>
        </w:rPr>
        <w:t xml:space="preserve">  A integração nativa com o SIAFI garante a abertura automática de contas e a conciliação bancária simplificada.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54u6inbkgyaq" w:id="3"/>
      <w:bookmarkEnd w:id="3"/>
      <w:r w:rsidDel="00000000" w:rsidR="00000000" w:rsidRPr="00000000">
        <w:rPr>
          <w:rtl w:val="0"/>
        </w:rPr>
        <w:t xml:space="preserve">Recomendações Prioritárias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Institucionalizar a Governança:</w:t>
      </w:r>
      <w:r w:rsidDel="00000000" w:rsidR="00000000" w:rsidRPr="00000000">
        <w:rPr>
          <w:rtl w:val="0"/>
        </w:rPr>
        <w:t xml:space="preserve">  Manter agendas semanais entre o Departamento de Gestão de Fundos (MMA) e o MGI para o acompanhamento da parametrização.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Capacitação Finalística:</w:t>
      </w:r>
      <w:r w:rsidDel="00000000" w:rsidR="00000000" w:rsidRPr="00000000">
        <w:rPr>
          <w:rtl w:val="0"/>
        </w:rPr>
        <w:t xml:space="preserve">  Envolver imediatamente os especialistas técnicos dos programas Propatinhas e Prévfogo nos testes de sistema para validar as metas padronizadas.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Segurança Jurídica:</w:t>
      </w:r>
      <w:r w:rsidDel="00000000" w:rsidR="00000000" w:rsidRPr="00000000">
        <w:rPr>
          <w:rtl w:val="0"/>
        </w:rPr>
        <w:t xml:space="preserve">  Priorizar a publicação de portarias que detalhem os requisitos de habilitação e os anexos obrigatórios exigidos pelo fluxo sistêmico.Conectivo: Superada a fase de síntese estratégica, detalha-se a seguir o arcabouço normativo que sustenta essa transição.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672ye5bnhckc" w:id="4"/>
      <w:bookmarkEnd w:id="4"/>
      <w:r w:rsidDel="00000000" w:rsidR="00000000" w:rsidRPr="00000000">
        <w:rPr>
          <w:rtl w:val="0"/>
        </w:rPr>
        <w:t xml:space="preserve">2. Contexto Institucional e Base Normativa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implementação desta nova modalidade é sustentada pelo  </w:t>
      </w:r>
      <w:r w:rsidDel="00000000" w:rsidR="00000000" w:rsidRPr="00000000">
        <w:rPr>
          <w:b w:val="1"/>
          <w:bCs w:val="1"/>
          <w:rtl w:val="0"/>
        </w:rPr>
        <w:t xml:space="preserve">Acordo de Cooperação Técnica (ACT)</w:t>
      </w:r>
      <w:r w:rsidDel="00000000" w:rsidR="00000000" w:rsidRPr="00000000">
        <w:rPr>
          <w:rtl w:val="0"/>
        </w:rPr>
        <w:t xml:space="preserve">  firmado entre o MGI e o MMA. Este acordo formaliza o suporte do órgão central para a internalização das políticas finalísticas do MMA no ecossistema digital de transferências da União, garantindo que a tecnologia acompanhe a inovação jurídica.A finalidade do TRANSFEREGOV é operacionalizar a  </w:t>
      </w:r>
      <w:r w:rsidDel="00000000" w:rsidR="00000000" w:rsidRPr="00000000">
        <w:rPr>
          <w:b w:val="1"/>
          <w:bCs w:val="1"/>
          <w:rtl w:val="0"/>
        </w:rPr>
        <w:t xml:space="preserve">Transferência Simplificada</w:t>
      </w:r>
      <w:r w:rsidDel="00000000" w:rsidR="00000000" w:rsidRPr="00000000">
        <w:rPr>
          <w:rtl w:val="0"/>
        </w:rPr>
        <w:t xml:space="preserve"> , promovendo uma mudança de modelo mental: sai a análise exaustiva de planos de trabalho complexos e entra a adesão dos entes federados a programas estruturados. O MGI atua como gestor da plataforma, enquanto o MMA detém autonomia absoluta na gestão dos recursos do FNMA e na definição das regras de negócio.A fundamentação legal repousa nas alterações na legislação do Fundo Nacional do Meio Ambiente e no decreto regulamentador. Este arcabouço autoriza a execução financeira sem a necessidade de instrumentos tradicionais, desde que observadas as condicionalidades de transparência e controle previstas no novo rito.Conectivo: A base normativa autoriza o modelo, mas é na arquitetura técnica que as regras de negócio ganham forma e segurança.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lgr8x0xcctgd" w:id="5"/>
      <w:bookmarkEnd w:id="5"/>
      <w:r w:rsidDel="00000000" w:rsidR="00000000" w:rsidRPr="00000000">
        <w:rPr>
          <w:rtl w:val="0"/>
        </w:rPr>
        <w:t xml:space="preserve">3. Arquitetura Técnica do TRANSFEREGOV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robustez sistêmica do TRANSFEREGOV é o que assegura a integridade dos recursos públicos. A arquitetura nativa da plataforma mitiga falhas processuais ao conduzir o gestor por um fluxo lógico de conformidade.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z7f9ctn75b2k" w:id="6"/>
      <w:bookmarkEnd w:id="6"/>
      <w:r w:rsidDel="00000000" w:rsidR="00000000" w:rsidRPr="00000000">
        <w:rPr>
          <w:rtl w:val="0"/>
        </w:rPr>
        <w:t xml:space="preserve">Ambientes de Operação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Ambiente,Finalidade,Impacto nos Dados Reais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Treinamento,Simulação e aprendizado das equipes técnicas.,Nenhum (ambiente isolado).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Homologação,Testes finais de fluxos e parametrizações específicas.,Nenhum (espelho de produção).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Produção,"Uso real para empenho, pagamento e execução oficial.",Jurídico e financeiro efetivo.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6rb336xxq2fq" w:id="7"/>
      <w:bookmarkEnd w:id="7"/>
      <w:r w:rsidDel="00000000" w:rsidR="00000000" w:rsidRPr="00000000">
        <w:rPr>
          <w:rtl w:val="0"/>
        </w:rPr>
        <w:t xml:space="preserve">Integrações Críticas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SIORG e Unidade Gestora:</w:t>
      </w:r>
      <w:r w:rsidDel="00000000" w:rsidR="00000000" w:rsidRPr="00000000">
        <w:rPr>
          <w:rtl w:val="0"/>
        </w:rPr>
        <w:t xml:space="preserve">  Para contornar a ausência de um código de Unidade Gestora próprio para o FNMA, a solução técnica consiste no uso do CIORG do  </w:t>
      </w:r>
      <w:r w:rsidDel="00000000" w:rsidR="00000000" w:rsidRPr="00000000">
        <w:rPr>
          <w:b w:val="1"/>
          <w:bCs w:val="1"/>
          <w:rtl w:val="0"/>
        </w:rPr>
        <w:t xml:space="preserve">Departamento de Gestão de Fundos e de Recursos Externos (267384)</w:t>
      </w:r>
      <w:r w:rsidDel="00000000" w:rsidR="00000000" w:rsidRPr="00000000">
        <w:rPr>
          <w:rtl w:val="0"/>
        </w:rPr>
        <w:t xml:space="preserve"> . Os técnicos terão perfis vinculados a múltiplos órgãos (MMA e Conselho do FNMA - 1992) para garantir a governança completa.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SIAFI:</w:t>
      </w:r>
      <w:r w:rsidDel="00000000" w:rsidR="00000000" w:rsidRPr="00000000">
        <w:rPr>
          <w:rtl w:val="0"/>
        </w:rPr>
        <w:t xml:space="preserve">  A execução financeira ocorre de forma encadeada, garantindo que o recurso chegue à conta específica do ente após a aprovação da manifestação de interesse.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Identidade Digital:</w:t>
      </w:r>
      <w:r w:rsidDel="00000000" w:rsidR="00000000" w:rsidRPr="00000000">
        <w:rPr>
          <w:rtl w:val="0"/>
        </w:rPr>
        <w:t xml:space="preserve">  O acesso é exclusivo via conta  </w:t>
      </w:r>
      <w:r w:rsidDel="00000000" w:rsidR="00000000" w:rsidRPr="00000000">
        <w:rPr>
          <w:b w:val="1"/>
          <w:bCs w:val="1"/>
          <w:rtl w:val="0"/>
        </w:rPr>
        <w:t xml:space="preserve">gov.br</w:t>
      </w:r>
      <w:r w:rsidDel="00000000" w:rsidR="00000000" w:rsidRPr="00000000">
        <w:rPr>
          <w:rtl w:val="0"/>
        </w:rPr>
        <w:t xml:space="preserve"> , assegurando a autoria de cada ato praticado.Conectivo: Com a arquitetura compreendida, a plataforma é moldada para atender às particularidades de cada política ambiental.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fj7ireu89hzr" w:id="8"/>
      <w:bookmarkEnd w:id="8"/>
      <w:r w:rsidDel="00000000" w:rsidR="00000000" w:rsidRPr="00000000">
        <w:rPr>
          <w:rtl w:val="0"/>
        </w:rPr>
        <w:t xml:space="preserve">4. Parametrização por Política Pública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TRANSFEREGOV oferece flexibilidade para adaptar-se aos desenhos específicos dos programas do MMA, utilizando o que tecnicamente chamamos de "nomes de guerra" para facilitar a identificação pelos entes subnacionais.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Propatinhas (Proteção Animal):</w:t>
      </w:r>
      <w:r w:rsidDel="00000000" w:rsidR="00000000" w:rsidRPr="00000000">
        <w:rPr>
          <w:rtl w:val="0"/>
        </w:rPr>
        <w:t xml:space="preserve">  O sistema será configurado com  </w:t>
      </w:r>
      <w:r w:rsidDel="00000000" w:rsidR="00000000" w:rsidRPr="00000000">
        <w:rPr>
          <w:b w:val="1"/>
          <w:bCs w:val="1"/>
          <w:rtl w:val="0"/>
        </w:rPr>
        <w:t xml:space="preserve">Metas Padronizadas</w:t>
      </w:r>
      <w:r w:rsidDel="00000000" w:rsidR="00000000" w:rsidRPr="00000000">
        <w:rPr>
          <w:rtl w:val="0"/>
        </w:rPr>
        <w:t xml:space="preserve">  (ex: quantidade de esterilizações), impedindo que o ente crie metas aleatórias e forçando a adesão aos itens pré-configurados pelo MMA.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Prévfogo (Prevenção de Incêndios):</w:t>
      </w:r>
      <w:r w:rsidDel="00000000" w:rsidR="00000000" w:rsidRPr="00000000">
        <w:rPr>
          <w:rtl w:val="0"/>
        </w:rPr>
        <w:t xml:space="preserve">  A parametrização incluirá  </w:t>
      </w:r>
      <w:r w:rsidDel="00000000" w:rsidR="00000000" w:rsidRPr="00000000">
        <w:rPr>
          <w:b w:val="1"/>
          <w:bCs w:val="1"/>
          <w:rtl w:val="0"/>
        </w:rPr>
        <w:t xml:space="preserve">Recortes Regionais</w:t>
      </w:r>
      <w:r w:rsidDel="00000000" w:rsidR="00000000" w:rsidRPr="00000000">
        <w:rPr>
          <w:rtl w:val="0"/>
        </w:rPr>
        <w:t xml:space="preserve"> , permitindo chamamentos específicos para estados da Amazônia Legal, otimizando o direcionamento dos recursos.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Conformidade via Anexos:</w:t>
      </w:r>
      <w:r w:rsidDel="00000000" w:rsidR="00000000" w:rsidRPr="00000000">
        <w:rPr>
          <w:rtl w:val="0"/>
        </w:rPr>
        <w:t xml:space="preserve">  O sistema exigirá documentos obrigatórios (ex: Declaração de Adesão ou Plano Local de Enfrentamento) como condição para o avanço no fluxo, mitigando riscos de irregularidade documental.Conectivo: Uma vez parametrizado o sistema, o fluxo operacional segue uma jornada simplificada de ponta a ponta.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ijsvfeyc0sqc" w:id="9"/>
      <w:bookmarkEnd w:id="9"/>
      <w:r w:rsidDel="00000000" w:rsidR="00000000" w:rsidRPr="00000000">
        <w:rPr>
          <w:rtl w:val="0"/>
        </w:rPr>
        <w:t xml:space="preserve">5. Jornada da Transferência: Do Chamamento à Execução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jornada operacional substitui o Plano de Trabalho denso por um rito de adesão e anuência, estruturado em cinco etapas: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Convocatória (Programa):</w:t>
      </w:r>
      <w:r w:rsidDel="00000000" w:rsidR="00000000" w:rsidRPr="00000000">
        <w:rPr>
          <w:rtl w:val="0"/>
        </w:rPr>
        <w:t xml:space="preserve">  O MMA cria a chamada no sistema (ex: Prévfogo), definindo prazos, critérios e metas padronizadas.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Manifestação de Interesse:</w:t>
      </w:r>
      <w:r w:rsidDel="00000000" w:rsidR="00000000" w:rsidRPr="00000000">
        <w:rPr>
          <w:rtl w:val="0"/>
        </w:rPr>
        <w:t xml:space="preserve">  O estado ou município manifesta desejo de aderir, enviando a documentação mínima exigida. Esta etapa substitui a burocracia do plano de trabalho tradicional.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Análise e Aprovação:</w:t>
      </w:r>
      <w:r w:rsidDel="00000000" w:rsidR="00000000" w:rsidRPr="00000000">
        <w:rPr>
          <w:rtl w:val="0"/>
        </w:rPr>
        <w:t xml:space="preserve">  A equipe do MMA verifica a habilitação e a conformidade com as regras da portaria.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Empenho e Desembolso:</w:t>
      </w:r>
      <w:r w:rsidDel="00000000" w:rsidR="00000000" w:rsidRPr="00000000">
        <w:rPr>
          <w:rtl w:val="0"/>
        </w:rPr>
        <w:t xml:space="preserve">  O sistema abre automaticamente a conta bancária e realiza a reserva orçamentária via SIAFI.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Execução e Monitoramento:</w:t>
      </w:r>
      <w:r w:rsidDel="00000000" w:rsidR="00000000" w:rsidRPr="00000000">
        <w:rPr>
          <w:rtl w:val="0"/>
        </w:rPr>
        <w:t xml:space="preserve">  O ente executa as ações. No caso do  </w:t>
      </w:r>
      <w:r w:rsidDel="00000000" w:rsidR="00000000" w:rsidRPr="00000000">
        <w:rPr>
          <w:b w:val="1"/>
          <w:bCs w:val="1"/>
          <w:rtl w:val="0"/>
        </w:rPr>
        <w:t xml:space="preserve">Propatinhas</w:t>
      </w:r>
      <w:r w:rsidDel="00000000" w:rsidR="00000000" w:rsidRPr="00000000">
        <w:rPr>
          <w:rtl w:val="0"/>
        </w:rPr>
        <w:t xml:space="preserve"> , a aferição de metas físicas utilizará o sistema  </w:t>
      </w:r>
      <w:r w:rsidDel="00000000" w:rsidR="00000000" w:rsidRPr="00000000">
        <w:rPr>
          <w:b w:val="1"/>
          <w:bCs w:val="1"/>
          <w:rtl w:val="0"/>
        </w:rPr>
        <w:t xml:space="preserve">Simpatinhas</w:t>
      </w:r>
      <w:r w:rsidDel="00000000" w:rsidR="00000000" w:rsidRPr="00000000">
        <w:rPr>
          <w:rtl w:val="0"/>
        </w:rPr>
        <w:t xml:space="preserve">  como fonte primária, com posterior reporte via Relatórios de Execução simplificados no TRANSFEREGOV.Conectivo: Para garantir que essa jornada seja executada sem falhas, é necessário esclarecer os pontos de maior incerteza técnica.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rd8iuq1h9dln" w:id="10"/>
      <w:bookmarkEnd w:id="10"/>
      <w:r w:rsidDel="00000000" w:rsidR="00000000" w:rsidRPr="00000000">
        <w:rPr>
          <w:rtl w:val="0"/>
        </w:rPr>
        <w:t xml:space="preserve">6. Dúvidas e Esclarecimentos (FAQ)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Dúvida:</w:t>
      </w:r>
      <w:r w:rsidDel="00000000" w:rsidR="00000000" w:rsidRPr="00000000">
        <w:rPr>
          <w:rtl w:val="0"/>
        </w:rPr>
        <w:t xml:space="preserve">  Como vincular o sistema se o FNMA não tem unidade gestora própria?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 Será utilizado o CIORG do Departamento de Gestão de Fundos (267384) e perfis combinados para os técnicos.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Resolvido (estratégia definida). |  </w:t>
      </w:r>
      <w:r w:rsidDel="00000000" w:rsidR="00000000" w:rsidRPr="00000000">
        <w:rPr>
          <w:b w:val="1"/>
          <w:bCs w:val="1"/>
          <w:rtl w:val="0"/>
        </w:rPr>
        <w:t xml:space="preserve">Criticidade:</w:t>
      </w:r>
      <w:r w:rsidDel="00000000" w:rsidR="00000000" w:rsidRPr="00000000">
        <w:rPr>
          <w:rtl w:val="0"/>
        </w:rPr>
        <w:t xml:space="preserve">  Alta.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Dúvida:</w:t>
      </w:r>
      <w:r w:rsidDel="00000000" w:rsidR="00000000" w:rsidRPr="00000000">
        <w:rPr>
          <w:rtl w:val="0"/>
        </w:rPr>
        <w:t xml:space="preserve">  Os entes podem realizar parcerias com ONGs locais (subconvênios)?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 A transferência é para o ente subnacional. A rastreabilidade de parcerias com o terceiro setor está em fase de teste através de pilotos de "Estado Repassador".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Em análise técnica. |  </w:t>
      </w:r>
      <w:r w:rsidDel="00000000" w:rsidR="00000000" w:rsidRPr="00000000">
        <w:rPr>
          <w:b w:val="1"/>
          <w:bCs w:val="1"/>
          <w:rtl w:val="0"/>
        </w:rPr>
        <w:t xml:space="preserve">Criticidade:</w:t>
      </w:r>
      <w:r w:rsidDel="00000000" w:rsidR="00000000" w:rsidRPr="00000000">
        <w:rPr>
          <w:rtl w:val="0"/>
        </w:rPr>
        <w:t xml:space="preserve">  Média.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Dúvida:</w:t>
      </w:r>
      <w:r w:rsidDel="00000000" w:rsidR="00000000" w:rsidRPr="00000000">
        <w:rPr>
          <w:rtl w:val="0"/>
        </w:rPr>
        <w:t xml:space="preserve">  Como garantir a entrega de planos locais após o repasse?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 Utilizando a  </w:t>
      </w:r>
      <w:r w:rsidDel="00000000" w:rsidR="00000000" w:rsidRPr="00000000">
        <w:rPr>
          <w:b w:val="1"/>
          <w:bCs w:val="1"/>
          <w:rtl w:val="0"/>
        </w:rPr>
        <w:t xml:space="preserve">Cláusula Suspensiva</w:t>
      </w:r>
      <w:r w:rsidDel="00000000" w:rsidR="00000000" w:rsidRPr="00000000">
        <w:rPr>
          <w:rtl w:val="0"/>
        </w:rPr>
        <w:t xml:space="preserve"> , que condiciona a liberação de parcelas futuras à entrega do documento.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Resolvido. |  </w:t>
      </w:r>
      <w:r w:rsidDel="00000000" w:rsidR="00000000" w:rsidRPr="00000000">
        <w:rPr>
          <w:b w:val="1"/>
          <w:bCs w:val="1"/>
          <w:rtl w:val="0"/>
        </w:rPr>
        <w:t xml:space="preserve">Criticidade:</w:t>
      </w:r>
      <w:r w:rsidDel="00000000" w:rsidR="00000000" w:rsidRPr="00000000">
        <w:rPr>
          <w:rtl w:val="0"/>
        </w:rPr>
        <w:t xml:space="preserve">  Alta.Conectivo: Além das dúvidas operacionais, existem riscos externos que exigem monitoramento preventivo.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l2fvjvm9jut8" w:id="11"/>
      <w:bookmarkEnd w:id="11"/>
      <w:r w:rsidDel="00000000" w:rsidR="00000000" w:rsidRPr="00000000">
        <w:rPr>
          <w:rtl w:val="0"/>
        </w:rPr>
        <w:t xml:space="preserve">7. Pontos de Atenção e Gestão de Riscos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Confusão Conceitual:</w:t>
      </w:r>
      <w:r w:rsidDel="00000000" w:rsidR="00000000" w:rsidRPr="00000000">
        <w:rPr>
          <w:rtl w:val="0"/>
        </w:rPr>
        <w:t xml:space="preserve">  O maior risco é a resistência das áreas técnicas em tentar converter a transferência simplificada em um convênio tradicional. Isso deve ser evitado para não gerar paralisia operacional.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Particularidade do Defeso Eleitoral:</w:t>
      </w:r>
      <w:r w:rsidDel="00000000" w:rsidR="00000000" w:rsidRPr="00000000">
        <w:rPr>
          <w:rtl w:val="0"/>
        </w:rPr>
        <w:t xml:space="preserve">  O programa  </w:t>
      </w:r>
      <w:r w:rsidDel="00000000" w:rsidR="00000000" w:rsidRPr="00000000">
        <w:rPr>
          <w:b w:val="1"/>
          <w:bCs w:val="1"/>
          <w:rtl w:val="0"/>
        </w:rPr>
        <w:t xml:space="preserve">Prévfogo</w:t>
      </w:r>
      <w:r w:rsidDel="00000000" w:rsidR="00000000" w:rsidRPr="00000000">
        <w:rPr>
          <w:rtl w:val="0"/>
        </w:rPr>
        <w:t xml:space="preserve">  possui portaria de emergência, permitindo o repasse mesmo em período eleitoral. O programa  </w:t>
      </w:r>
      <w:r w:rsidDel="00000000" w:rsidR="00000000" w:rsidRPr="00000000">
        <w:rPr>
          <w:b w:val="1"/>
          <w:bCs w:val="1"/>
          <w:rtl w:val="0"/>
        </w:rPr>
        <w:t xml:space="preserve">Propatinhas</w:t>
      </w:r>
      <w:r w:rsidDel="00000000" w:rsidR="00000000" w:rsidRPr="00000000">
        <w:rPr>
          <w:rtl w:val="0"/>
        </w:rPr>
        <w:t xml:space="preserve">  não possui esta exceção e deve observar os prazos vedados.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Definição do CIORG:</w:t>
      </w:r>
      <w:r w:rsidDel="00000000" w:rsidR="00000000" w:rsidRPr="00000000">
        <w:rPr>
          <w:rtl w:val="0"/>
        </w:rPr>
        <w:t xml:space="preserve">  A correta vinculação dos perfis de acesso ao código 267384 é condição obrigatória para o início das atividades em ambiente de produção.Conectivo: A mitigação desses riscos passa pela adoção de boas práticas e pelo treinamento contínuo.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hr0xs7o3k9xn" w:id="12"/>
      <w:bookmarkEnd w:id="12"/>
      <w:r w:rsidDel="00000000" w:rsidR="00000000" w:rsidRPr="00000000">
        <w:rPr>
          <w:rtl w:val="0"/>
        </w:rPr>
        <w:t xml:space="preserve">8. Boas Práticas e Recomendações Operacionais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Navegação em Acesso Livre:</w:t>
      </w:r>
      <w:r w:rsidDel="00000000" w:rsidR="00000000" w:rsidRPr="00000000">
        <w:rPr>
          <w:rtl w:val="0"/>
        </w:rPr>
        <w:t xml:space="preserve">  Recomenda-se que as equipes utilizem o módulo de acesso livre, onde 90% das funcionalidades estão disponíveis para visualização sem risco de alteração de dados.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Descentralização do Conhecimento:</w:t>
      </w:r>
      <w:r w:rsidDel="00000000" w:rsidR="00000000" w:rsidRPr="00000000">
        <w:rPr>
          <w:rtl w:val="0"/>
        </w:rPr>
        <w:t xml:space="preserve">  É imperativo envolver as equipes finalísticas (especialistas em proteção animal e incêndios) desde a fase de treinamento para validar as telas de metas.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Canais de Diálogo Permanentes:</w:t>
      </w:r>
      <w:r w:rsidDel="00000000" w:rsidR="00000000" w:rsidRPr="00000000">
        <w:rPr>
          <w:rtl w:val="0"/>
        </w:rPr>
        <w:t xml:space="preserve">  Manter o chat de equipe ou salas virtuais ativos para resolução imediata de dúvidas sobre fluxos sistêmicos.Conectivo: Para garantir a uniformidade da linguagem entre MMA e MGI, utiliza-se a terminologia técnica padronizada.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tlhlcmr8odcc" w:id="13"/>
      <w:bookmarkEnd w:id="13"/>
      <w:r w:rsidDel="00000000" w:rsidR="00000000" w:rsidRPr="00000000">
        <w:rPr>
          <w:rtl w:val="0"/>
        </w:rPr>
        <w:t xml:space="preserve">9. Glossário Técnico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CLÁUSULA SUSPENSIVA:</w:t>
      </w:r>
      <w:r w:rsidDel="00000000" w:rsidR="00000000" w:rsidRPr="00000000">
        <w:rPr>
          <w:rtl w:val="0"/>
        </w:rPr>
        <w:t xml:space="preserve">  Condição que suspende a eficácia do repasse até que uma obrigação pendente seja cumprida.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ENTE SUB-NACIONAL:</w:t>
      </w:r>
      <w:r w:rsidDel="00000000" w:rsidR="00000000" w:rsidRPr="00000000">
        <w:rPr>
          <w:rtl w:val="0"/>
        </w:rPr>
        <w:t xml:space="preserve">  Estado ou município beneficiário do repasse.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PARAMETRIZAÇÃO:</w:t>
      </w:r>
      <w:r w:rsidDel="00000000" w:rsidR="00000000" w:rsidRPr="00000000">
        <w:rPr>
          <w:rtl w:val="0"/>
        </w:rPr>
        <w:t xml:space="preserve">  Configuração de regras, metas e prazos específicos de uma política dentro do sistema.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RELATÓRIO DE EXECUÇÃO:</w:t>
      </w:r>
      <w:r w:rsidDel="00000000" w:rsidR="00000000" w:rsidRPr="00000000">
        <w:rPr>
          <w:rtl w:val="0"/>
        </w:rPr>
        <w:t xml:space="preserve">  Documento que comprova a aplicação dos recursos e o alcance dos objetivos pactuados.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SIAFI:</w:t>
      </w:r>
      <w:r w:rsidDel="00000000" w:rsidR="00000000" w:rsidRPr="00000000">
        <w:rPr>
          <w:rtl w:val="0"/>
        </w:rPr>
        <w:t xml:space="preserve">  Sistema federal para registro e controle da execução orçamentária.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SIORG:</w:t>
      </w:r>
      <w:r w:rsidDel="00000000" w:rsidR="00000000" w:rsidRPr="00000000">
        <w:rPr>
          <w:rtl w:val="0"/>
        </w:rPr>
        <w:t xml:space="preserve">  Sistema que fornece a estrutura organizacional para cadastro de unidades.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TRANSFEREGOV:</w:t>
      </w:r>
      <w:r w:rsidDel="00000000" w:rsidR="00000000" w:rsidRPr="00000000">
        <w:rPr>
          <w:rtl w:val="0"/>
        </w:rPr>
        <w:t xml:space="preserve">  Plataforma tecnológica para operacionalização de repasses federais.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TRANSFERÊNCIA SIMPLIFICADA:</w:t>
      </w:r>
      <w:r w:rsidDel="00000000" w:rsidR="00000000" w:rsidRPr="00000000">
        <w:rPr>
          <w:rtl w:val="0"/>
        </w:rPr>
        <w:t xml:space="preserve">  Modalidade de repasse que dispensa convênio, baseada em adesão e metas.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UNIDADE GESTORA:</w:t>
      </w:r>
      <w:r w:rsidDel="00000000" w:rsidR="00000000" w:rsidRPr="00000000">
        <w:rPr>
          <w:rtl w:val="0"/>
        </w:rPr>
        <w:t xml:space="preserve">  Código que identifica a subunidade responsável pela execução financeira.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l9nnjapmdcqa" w:id="14"/>
      <w:bookmarkEnd w:id="14"/>
      <w:r w:rsidDel="00000000" w:rsidR="00000000" w:rsidRPr="00000000">
        <w:rPr>
          <w:rtl w:val="0"/>
        </w:rPr>
        <w:t xml:space="preserve">10. Materiais Produzidos e Suporte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Ambiente de Treinamento:</w:t>
      </w:r>
      <w:r w:rsidDel="00000000" w:rsidR="00000000" w:rsidRPr="00000000">
        <w:rPr>
          <w:rtl w:val="0"/>
        </w:rPr>
        <w:t xml:space="preserve">  Espaço virtual para simulação completa da jornada.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Seminários Virtuais e Tutoriais:</w:t>
      </w:r>
      <w:r w:rsidDel="00000000" w:rsidR="00000000" w:rsidRPr="00000000">
        <w:rPr>
          <w:rtl w:val="0"/>
        </w:rPr>
        <w:t xml:space="preserve">  Gravações de encontros técnicos e roteiros de navegação "passo a passo" disponíveis no portal.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Central de Atendimento:</w:t>
      </w:r>
      <w:r w:rsidDel="00000000" w:rsidR="00000000" w:rsidRPr="00000000">
        <w:rPr>
          <w:rtl w:val="0"/>
        </w:rPr>
        <w:t xml:space="preserve">  Suporte técnico especializado com  </w:t>
      </w:r>
      <w:r w:rsidDel="00000000" w:rsidR="00000000" w:rsidRPr="00000000">
        <w:rPr>
          <w:b w:val="1"/>
          <w:bCs w:val="1"/>
          <w:rtl w:val="0"/>
        </w:rPr>
        <w:t xml:space="preserve">Roteiros de Atendimento</w:t>
      </w:r>
      <w:r w:rsidDel="00000000" w:rsidR="00000000" w:rsidRPr="00000000">
        <w:rPr>
          <w:rtl w:val="0"/>
        </w:rPr>
        <w:t xml:space="preserve">  específicos para as demandas do FNMA.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