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color w:val="475569"/>
          <w:sz w:val="22"/>
        </w:rPr>
        <w:t>Ministério da Gestão e da Inovação em Serviços Públicos</w:t>
        <w:br/>
        <w:t>Secretaria de Gestão e Inovação - SEGES</w:t>
      </w:r>
    </w:p>
    <w:p>
      <w:pPr>
        <w:spacing w:before="2400" w:after="160"/>
        <w:jc w:val="center"/>
      </w:pPr>
      <w:r>
        <w:rPr>
          <w:rFonts w:ascii="Verdana" w:hAnsi="Verdana"/>
          <w:b/>
          <w:color w:val="2670E8"/>
          <w:sz w:val="48"/>
        </w:rPr>
        <w:t>CARTILHA DE NIVELAMENTO</w:t>
      </w:r>
    </w:p>
    <w:p>
      <w:pPr>
        <w:spacing w:before="0" w:after="560"/>
        <w:jc w:val="center"/>
      </w:pPr>
      <w:r>
        <w:rPr>
          <w:rFonts w:ascii="Verdana" w:hAnsi="Verdana"/>
          <w:i/>
          <w:color w:val="475569"/>
          <w:sz w:val="24"/>
        </w:rPr>
        <w:t>Módulo de Gestão de Parcerias e Ecossistema TRANSFEREGOV.BR</w:t>
        <w:br/>
        <w:t>Guia Prático para Órgãos Concedentes Federais, Estados, Municípios e OSCs</w:t>
      </w:r>
    </w:p>
    <w:p>
      <w:pPr>
        <w:spacing w:before="2800"/>
        <w:jc w:val="center"/>
      </w:pPr>
      <w:r>
        <w:rPr>
          <w:rFonts w:ascii="Verdana" w:hAnsi="Verdana"/>
          <w:color w:val="64748B"/>
          <w:sz w:val="20"/>
        </w:rPr>
        <w:t>Brasília - DF, 2026</w:t>
      </w:r>
    </w:p>
    <w:p>
      <w:r>
        <w:br w:type="page"/>
      </w:r>
    </w:p>
    <w:p>
      <w:pPr>
        <w:spacing w:before="360" w:after="240"/>
      </w:pPr>
      <w:r>
        <w:rPr>
          <w:rFonts w:ascii="Verdana" w:hAnsi="Verdana"/>
          <w:b/>
          <w:color w:val="0F172A"/>
          <w:sz w:val="32"/>
        </w:rPr>
        <w:t>Expediente e Ficha Técnica</w:t>
      </w:r>
    </w:p>
    <w:p>
      <w:pPr>
        <w:spacing w:after="160" w:line="276" w:lineRule="auto"/>
      </w:pPr>
      <w:r>
        <w:rPr>
          <w:rFonts w:ascii="Verdana" w:hAnsi="Verdana"/>
          <w:color w:val="334155"/>
          <w:sz w:val="21"/>
        </w:rPr>
        <w:t>Coordenação Geral: Diretoria de Parcerias e Transferências - DTPAR/SEGES/MGI</w:t>
      </w:r>
    </w:p>
    <w:p>
      <w:pPr>
        <w:spacing w:after="160" w:line="276" w:lineRule="auto"/>
      </w:pPr>
      <w:r>
        <w:rPr>
          <w:rFonts w:ascii="Verdana" w:hAnsi="Verdana"/>
          <w:color w:val="334155"/>
          <w:sz w:val="21"/>
        </w:rPr>
        <w:t>Desenvolvimento Técnico: Equipe de Capacitação da Rede de Parcerias</w:t>
      </w:r>
    </w:p>
    <w:p>
      <w:pPr>
        <w:spacing w:after="160" w:line="276" w:lineRule="auto"/>
      </w:pPr>
      <w:r>
        <w:rPr>
          <w:rFonts w:ascii="Verdana" w:hAnsi="Verdana"/>
          <w:color w:val="334155"/>
          <w:sz w:val="21"/>
        </w:rPr>
        <w:t>Design e Acessibilidade: Diretoria de Tecnologia e Informações Operacionais</w:t>
      </w:r>
    </w:p>
    <w:p>
      <w:pPr>
        <w:spacing w:after="160" w:line="276" w:lineRule="auto"/>
      </w:pPr>
      <w:r>
        <w:rPr>
          <w:rFonts w:ascii="Verdana" w:hAnsi="Verdana"/>
          <w:color w:val="334155"/>
          <w:sz w:val="21"/>
        </w:rPr>
        <w:t>Parceiros Institucionais: Estados, Municípios e Organizações da Sociedade Civil (OSCs)</w:t>
      </w:r>
    </w:p>
    <w:p>
      <w:r>
        <w:br w:type="page"/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⚡ Sumário Executivo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modernização dos repasses de recursos no âmbito federal atinge um marco fundamental com a transição para o modelo de Transferência Simplificada no TRANSFEREGOV.BR. Esta mudança é uma resposta direta à necessidade de conferir celeridade e eficiência à execução de políticas públicas críticas de fomento e parcerias, otimizando o relacionamento interfederativo.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Importante — Principais Conclusões: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Ruptura de Paradigma: Dispensa convênios ou instrumentos complexos ex-ante, focando no objeto físico.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Padronização Técnica: Utiliza metas físicas pré-configuradas no Módulo de Gestão de Parcerias.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Mapeamento Estrutural: Uso de SIORG setorial (ex: Departamento Gestor - 267384) para controle administrativo.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Gestão de Riscos Eficiente: Regras de exceção (como o defeso eleitoral) parametrizadas por tipo de programa no sistema.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• Rastreabilidade Financeira: Integração nativa com SIAFI para abertura de contas e conciliação em tempo real.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🏛️ Contexto Institucional e Base Normativa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implementação desta nova modalidade é sustentada por Acordos de Cooperação Técnica (ACT) firmados entre o Ministério da Gestão e da Inovação em Serviços Públicos (MGI) e os órgãos federais parceiros. Este acordo formaliza o suporte técnico para a internalização de políticas finalísticas no ecossistema de transferências da União, substituindo a análise documental analítica por uma sistemática de adesão rápida.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1F5F9"/>
            <w:tcBorders>
              <w:left w:val="single" w:sz="36" w:space="0" w:color="3B82F6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Mensagem Central: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Papel do MGI: Gestor central da Plataforma TRANSFEREGOV.BR, responsável por fornecer a infraestrutura sistêmica e garantir o marco regulatório e governança.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Papel dos Órgãos Parceiros: Detêm total autonomia na gestão dos recursos de seus fundos, na definição das regras de negócio de suas chamadas públicas e na validação das metas físicas pactuadas.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⚙️ Arquitetura Técnica do TRANSFEREGOV.BR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robustez do TRANSFEREGOV.BR garante a integridade dos recursos federais. A arquitetura sistêmica é subdividida em três ambientes principais: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2670E8"/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</w:rPr>
              <w:t>Ambiente</w:t>
            </w:r>
          </w:p>
        </w:tc>
        <w:tc>
          <w:tcPr>
            <w:tcW w:type="dxa" w:w="4680"/>
            <w:shd w:val="clear" w:color="auto" w:fill="2670E8"/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</w:rPr>
              <w:t>Descrição e Finalidade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pPr>
              <w:jc w:val="center"/>
            </w:pPr>
            <w:r>
              <w:rPr>
                <w:rFonts w:ascii="Verdana" w:hAnsi="Verdana"/>
                <w:b/>
                <w:sz w:val="19"/>
              </w:rPr>
              <w:t>1. Treinamento</w:t>
            </w:r>
          </w:p>
        </w:tc>
        <w:tc>
          <w:tcPr>
            <w:tcW w:type="dxa" w:w="4680"/>
          </w:tcPr>
          <w:p>
            <w:r>
              <w:rPr>
                <w:rFonts w:ascii="Verdana" w:hAnsi="Verdana"/>
                <w:sz w:val="19"/>
              </w:rPr>
              <w:t>Simulador (sandbox) isolado destinado ao aprendizado das equipes técnicas, sem impacto orçamentário real.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pPr>
              <w:jc w:val="center"/>
            </w:pPr>
            <w:r>
              <w:rPr>
                <w:rFonts w:ascii="Verdana" w:hAnsi="Verdana"/>
                <w:b/>
                <w:sz w:val="19"/>
              </w:rPr>
              <w:t>2. Homologação</w:t>
            </w:r>
          </w:p>
        </w:tc>
        <w:tc>
          <w:tcPr>
            <w:tcW w:type="dxa" w:w="4680"/>
          </w:tcPr>
          <w:p>
            <w:r>
              <w:rPr>
                <w:rFonts w:ascii="Verdana" w:hAnsi="Verdana"/>
                <w:sz w:val="19"/>
              </w:rPr>
              <w:t>Validações finais de layouts, parametrizações e testes de integração de APIs com agentes bancários.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pPr>
              <w:jc w:val="center"/>
            </w:pPr>
            <w:r>
              <w:rPr>
                <w:rFonts w:ascii="Verdana" w:hAnsi="Verdana"/>
                <w:b/>
                <w:sz w:val="19"/>
              </w:rPr>
              <w:t>3. Produção</w:t>
            </w:r>
          </w:p>
        </w:tc>
        <w:tc>
          <w:tcPr>
            <w:tcW w:type="dxa" w:w="4680"/>
          </w:tcPr>
          <w:p>
            <w:r>
              <w:rPr>
                <w:rFonts w:ascii="Verdana" w:hAnsi="Verdana"/>
                <w:sz w:val="19"/>
              </w:rPr>
              <w:t>Execução oficial das parcerias, com empenho no SIAFI, transações financeiras reais e monitoramento legal.</w:t>
            </w:r>
          </w:p>
        </w:tc>
      </w:tr>
    </w:tbl>
    <w:p>
      <w:pPr>
        <w:spacing w:before="120"/>
      </w:pP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Solução Técnica SIORG: Para viabilizar a vinculação administrativa de conselhos ou fundos finalísticos sem código de Unidade Gestora própria, a plataforma utiliza a vinculação via código de SIORG (ex: código do Departamento Gestor de Recursos - 267384) e perfis específicos para servidores.</w:t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🔧 Parametrização por Política Pública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O Módulo de Gestão de Parcerias do TRANSFEREGOV.BR se adapta às particularidades de diferentes políticas públicas por meio de configurações no sistema: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1. Requisitos de Habilitação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Definição automatizada de critérios técnicos e fiscais que os proponentes devem cumprir eletronicamente.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2. Anexos Obrigatórios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Possibilidade de restringir a adesão à inserção de planos setoriais específicos de trabalho (ex: planos de contingência, declarações locais).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3. Metas Padronizadas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Catálogo de entregas físicas predefinidas para a rápida adesão dos estados e municípios, eliminando propostas subjetivas.</w:t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💳 Ordem de Pagamento de Parcerias (OPP)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OPP é o instrumento financeiro definitivo de automatização bancária das parcerias. Ela assegura e agiliza a liberação dos recursos federais: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⚡ Tempo Real via API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Conexão direta com bancos públicos oficiais, eliminando o processamento em lote (batch).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🛡️ Dupla Assinatura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Exigência de dupla autorização eletrônica (Operador e Gestor) com certificação Gov.br Ouro.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📱 Pix e QR Code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Pagamento direto a fornecedores e prestadores na ponta, garantindo conciliação imediata.</w:t>
      </w:r>
    </w:p>
    <w:p>
      <w:pPr>
        <w:keepNext/>
        <w:spacing w:before="240" w:after="120"/>
      </w:pPr>
      <w:r>
        <w:rPr>
          <w:rFonts w:ascii="Verdana" w:hAnsi="Verdana"/>
          <w:b/>
          <w:color w:val="2670E8"/>
          <w:sz w:val="23"/>
        </w:rPr>
        <w:t>⚙️ Controle Ativo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Prerrogativa do órgão federal de comandar o bloqueio e devolução de saldos não utilizados.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Importante — Ficha Técnica e Prazos: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Ficha Técnica e Prazos: Abertura de conta via API em 3 a 5 segundos; Janela de autorizações das 07h às 19h30; transações via Pix sem teto de valor. A migração compulsória para todas as 63 mil contas ativas no país deve ocorrer até dezembro de 2026.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🗺️ Jornada da Transferência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A jornada de repasses simplificados substitui os planos de trabalho densos por um fluxo lógico em 5 etapas no sistema: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01. Convocatória: O órgão concedente cadastra a chamada pública, metas físicas padronizadas e prazos no sistema.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02. Proposição: O ente subnacional adere digitalmente à chamada, preenchendo as informações e anexando os documentos.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03. Validação: O concedente realiza a análise da habilitação eletrônica e emite o parecer de aprovação.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04. SIAFI: O sistema realiza o empenho automático e o comando de abertura de conta bancária vinculada.</w:t>
      </w:r>
    </w:p>
    <w:p>
      <w:pPr>
        <w:spacing w:before="0" w:after="160" w:line="276" w:lineRule="auto"/>
      </w:pPr>
      <w:r>
        <w:rPr>
          <w:rFonts w:ascii="Verdana" w:hAnsi="Verdana"/>
          <w:color w:val="334155"/>
          <w:sz w:val="20"/>
        </w:rPr>
        <w:t>• 05. Ciclo Final: O ente executa as metas físicas e apresenta o Relatório de Execução Simplificado focado nas entregas.</w:t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❓ Dúvidas Operacionais (FAQ)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❓ Como funciona a adesão no TRANSFEREGOV.BR?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O processo é eletrônico e integrado. O proponente localiza o edital e manifesta interesse aderindo diretamente no TRANSFEREGOV.BR, assinando digitalmente o termo.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❓ O que significa parametrizar o edital?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É a predefinição pelo órgão concedente das regras de negócio, metas padronizadas e documentos exigidos, adaptando o sistema ao seu setor.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❓ Qual a importância da Sandbox de Treinamento?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Funciona como um simulador (sandbox) isolado, permitindo testes práticos de empenho e execução de forma prática e sem risco fiscal real.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6FF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❓ Como ocorre a prestação de contas?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O foco é direcionado para a comprovação física do alcance do objeto e das metas cadastradas, simplificando a prestação documental ex-post.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⚠️ Pontos de Atenção e Riscos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EF2F2"/>
            <w:tcBorders>
              <w:left w:val="single" w:sz="36" w:space="0" w:color="EF4444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Atenção — Sintoma do Convênio (Resistência Cultural)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Dificuldade cultural de técnicos em desapegar de controles ex-ante densos e Notas Fiscais unitárias ex-ante, o que invalida a celeridade proposta pela Transferência Simplificada.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EF2F2"/>
            <w:tcBorders>
              <w:left w:val="single" w:sz="36" w:space="0" w:color="EF4444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Atenção — Prazos do Defeso Eleitoral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Observância estrita do calendário eleitoral ordinário. Importante notar que apenas programas de Emergência ou Calamidade Pública formalmente decretada por portaria ministerial ativa possuem exceções de continuidade.</w:t>
            </w:r>
          </w:p>
        </w:tc>
      </w:tr>
    </w:tbl>
    <w:p>
      <w:pPr>
        <w:spacing w:before="120" w:after="120"/>
      </w:pP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✅ Boas Práticas Operacionais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DF4"/>
            <w:tcBorders>
              <w:left w:val="single" w:sz="36" w:space="0" w:color="10B981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Mensagem Central — Treinamento Prévio em Sandbox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Utilização intensiva do ambiente de treinamento livre para simular 90% das telas sem necessidade imediata de certificado digital.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0FDF4"/>
            <w:tcBorders>
              <w:left w:val="single" w:sz="36" w:space="0" w:color="10B981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Mensagem Central — Diálogo Técnico Permanente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Abertura de chats técnicos ou fóruns integrados para esclarecer parametrizações de metas com o órgão concedente antes de abrir o edital.</w:t>
            </w:r>
          </w:p>
        </w:tc>
      </w:tr>
    </w:tbl>
    <w:p>
      <w:pPr>
        <w:spacing w:before="120" w:after="120"/>
      </w:pPr>
    </w:p>
    <w:p>
      <w:r>
        <w:br w:type="page"/>
      </w:r>
    </w:p>
    <w:p>
      <w:pPr>
        <w:keepNext/>
        <w:spacing w:before="320" w:after="160"/>
      </w:pPr>
      <w:r>
        <w:rPr>
          <w:rFonts w:ascii="Verdana" w:hAnsi="Verdana"/>
          <w:b/>
          <w:color w:val="0F172A"/>
          <w:sz w:val="28"/>
        </w:rPr>
        <w:t>📖 Glossário Técnico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TRANSFEREGOV.BR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Plataforma integrada de operacionalização e controle das parcerias financeiras do Governo Federal.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SIORG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Sistema de Informações Organizacionais do Governo Federal. Utilizado para mapeamento de responsabilidades administrativas no módulo.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SIAFI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Sistema Integrado de Administração Financeira do Governo Federal. Responsável pelo empenho de fundos e abertura de contas bancárias vinculadas.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OPP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Ordem de Pagamento de Parcerias. Canal de liquidação bancária automatizada e transparente em tempo real via Pix/QR Code.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ACT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Acordo de Cooperação Técnica. Instrumento legal celebrado entre o MGI e o ministério parceiro para reger a utilização da Transferência Simplificada.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Concedente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Órgão ou entidade da Administração Pública Federal responsável pela destinação do recurso e supervisão técnica.</w:t>
            </w:r>
          </w:p>
        </w:tc>
      </w:tr>
    </w:tbl>
    <w:p>
      <w:pPr>
        <w:spacing w:before="12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352"/>
            <w:shd w:val="clear" w:color="auto" w:fill="F8FAFC"/>
            <w:tcBorders>
              <w:left w:val="single" w:sz="36" w:space="0" w:color="2670E8"/>
              <w:top w:val="none"/>
              <w:bottom w:val="none"/>
              <w:right w:val="none"/>
            </w:tcBorders>
            <w:tcMar>
              <w:top w:w="150" w:type="dxa"/>
              <w:bottom w:w="150" w:type="dxa"/>
              <w:left w:w="250" w:type="dxa"/>
              <w:right w:w="200" w:type="dxa"/>
            </w:tcMar>
          </w:tcPr>
          <w:p>
            <w:pPr>
              <w:spacing w:before="0" w:after="80"/>
            </w:pPr>
            <w:r>
              <w:rPr>
                <w:rFonts w:ascii="Verdana" w:hAnsi="Verdana"/>
                <w:b/>
                <w:color w:val="0F172A"/>
                <w:sz w:val="21"/>
              </w:rPr>
              <w:t>Proponente</w:t>
            </w:r>
          </w:p>
          <w:p>
            <w:pPr>
              <w:spacing w:before="80" w:after="80" w:line="276" w:lineRule="auto"/>
            </w:pPr>
            <w:r>
              <w:rPr>
                <w:rFonts w:ascii="Verdana" w:hAnsi="Verdana"/>
                <w:color w:val="3C3C3C"/>
                <w:sz w:val="20"/>
              </w:rPr>
              <w:t>Ente subnacional (Estado ou Município) ou OSC que manifesta interesse no edital e executa as metas pactuadas.</w:t>
            </w:r>
          </w:p>
        </w:tc>
      </w:tr>
    </w:tbl>
    <w:p>
      <w:pPr>
        <w:spacing w:before="120" w:after="120"/>
      </w:pPr>
    </w:p>
    <w:p>
      <w:r>
        <w:br w:type="page"/>
      </w:r>
    </w:p>
    <w:p>
      <w:pPr>
        <w:spacing w:before="2400"/>
        <w:jc w:val="center"/>
      </w:pPr>
      <w:r>
        <w:rPr>
          <w:rFonts w:ascii="Verdana" w:hAnsi="Verdana"/>
          <w:color w:val="475569"/>
          <w:sz w:val="21"/>
        </w:rPr>
        <w:t>Secretaria de Gestão e Inovação (SEGES)</w:t>
        <w:br/>
        <w:t>Ministério da Gestão e da Inovação em Serviços Públicos</w:t>
        <w:br/>
        <w:br/>
        <w:t>Canais de Suporte:</w:t>
        <w:br/>
        <w:t>Portal Transferegov: www.gov.br/transferegov</w:t>
        <w:br/>
        <w:t>Email: suporte.transferegov@gestao.gov.br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