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0CA72" w14:textId="77777777" w:rsidR="00BF3B31" w:rsidRPr="002036F8" w:rsidRDefault="00000000">
      <w:pPr>
        <w:pStyle w:val="Title"/>
        <w:jc w:val="center"/>
        <w:rPr>
          <w:rFonts w:ascii="Roboto" w:hAnsi="Roboto"/>
        </w:rPr>
      </w:pPr>
      <w:r w:rsidRPr="002036F8">
        <w:rPr>
          <w:rFonts w:ascii="Roboto" w:hAnsi="Roboto"/>
        </w:rPr>
        <w:t xml:space="preserve">Annex to the OG-Core </w:t>
      </w:r>
      <w:r w:rsidRPr="002036F8">
        <w:rPr>
          <w:rFonts w:ascii="Apple Color Emoji" w:hAnsi="Apple Color Emoji" w:cs="Apple Color Emoji"/>
        </w:rPr>
        <w:t>↔</w:t>
      </w:r>
      <w:r w:rsidRPr="002036F8">
        <w:rPr>
          <w:rFonts w:ascii="Roboto" w:hAnsi="Roboto"/>
        </w:rPr>
        <w:t xml:space="preserve"> OSeMOSYS Coupling Map</w:t>
      </w:r>
    </w:p>
    <w:p w14:paraId="335371A0" w14:textId="77777777" w:rsidR="00BF3B31" w:rsidRPr="002036F8" w:rsidRDefault="00000000">
      <w:pPr>
        <w:jc w:val="center"/>
        <w:rPr>
          <w:rFonts w:ascii="Roboto" w:hAnsi="Roboto"/>
        </w:rPr>
      </w:pPr>
      <w:r w:rsidRPr="002036F8">
        <w:rPr>
          <w:rFonts w:ascii="Roboto" w:hAnsi="Roboto"/>
          <w:i/>
          <w:sz w:val="26"/>
        </w:rPr>
        <w:t>Required Bridge Transformations for the Philippines-Generalized OG–CLEWS Workflow</w:t>
      </w:r>
    </w:p>
    <w:p w14:paraId="233AC46B" w14:textId="77777777" w:rsidR="00BF3B31" w:rsidRPr="002036F8" w:rsidRDefault="00000000">
      <w:pPr>
        <w:jc w:val="center"/>
        <w:rPr>
          <w:rFonts w:ascii="Roboto" w:hAnsi="Roboto"/>
        </w:rPr>
      </w:pPr>
      <w:r w:rsidRPr="002036F8">
        <w:rPr>
          <w:rFonts w:ascii="Roboto" w:hAnsi="Roboto"/>
          <w:color w:val="666666"/>
        </w:rPr>
        <w:t>Prepared 22 April 2026</w:t>
      </w:r>
    </w:p>
    <w:p w14:paraId="208E06AD" w14:textId="77777777" w:rsidR="00BF3B31" w:rsidRPr="002036F8" w:rsidRDefault="00000000">
      <w:pPr>
        <w:jc w:val="both"/>
        <w:rPr>
          <w:rFonts w:ascii="Roboto" w:hAnsi="Roboto"/>
        </w:rPr>
      </w:pPr>
      <w:r w:rsidRPr="002036F8">
        <w:rPr>
          <w:rFonts w:ascii="Roboto" w:hAnsi="Roboto"/>
          <w:b/>
        </w:rPr>
        <w:t xml:space="preserve">Purpose. </w:t>
      </w:r>
      <w:r w:rsidRPr="002036F8">
        <w:rPr>
          <w:rFonts w:ascii="Roboto" w:hAnsi="Roboto"/>
        </w:rPr>
        <w:t>This addendum supplements the refined Philippines-generalization annex by making the bridge layer explicit in equations. It translates the demand-first integration logic in the Philippines CLEWs overview into a reusable, country-agnostic formula set for coupling OG-Core with a CLEWs/OSeMOSYS model. The intent is operational: a modeller should be able to implement the bridge objects, not only describe them conceptually.</w:t>
      </w:r>
    </w:p>
    <w:p w14:paraId="03A2F178" w14:textId="77777777" w:rsidR="00BF3B31" w:rsidRPr="002036F8" w:rsidRDefault="00000000">
      <w:pPr>
        <w:jc w:val="both"/>
        <w:rPr>
          <w:rFonts w:ascii="Roboto" w:hAnsi="Roboto"/>
        </w:rPr>
      </w:pPr>
      <w:r w:rsidRPr="002036F8">
        <w:rPr>
          <w:rFonts w:ascii="Roboto" w:hAnsi="Roboto"/>
          <w:b/>
        </w:rPr>
        <w:t xml:space="preserve">Why this addendum is needed. </w:t>
      </w:r>
      <w:r w:rsidRPr="002036F8">
        <w:rPr>
          <w:rFonts w:ascii="Roboto" w:hAnsi="Roboto"/>
        </w:rPr>
        <w:t>The uploaded Philippines overview indicates that the first serious integration effort should focus on harmonized demands, and that the most policy-relevant feedbacks from CLEWs into OG are fuel imports, extraction, investments, emissions, land use, and water use. This document therefore writes down the minimum transformations required for a functioning iterative OG–CLEWS workflow.</w:t>
      </w:r>
    </w:p>
    <w:p w14:paraId="1D163B2C" w14:textId="77777777" w:rsidR="00BF3B31" w:rsidRPr="002036F8" w:rsidRDefault="00000000">
      <w:pPr>
        <w:pStyle w:val="Heading1"/>
        <w:rPr>
          <w:rFonts w:ascii="Roboto" w:hAnsi="Roboto"/>
        </w:rPr>
      </w:pPr>
      <w:r w:rsidRPr="002036F8">
        <w:rPr>
          <w:rFonts w:ascii="Roboto" w:hAnsi="Roboto"/>
          <w:b w:val="0"/>
        </w:rPr>
        <w:t>1. Core implications from the Philippines use case</w:t>
      </w:r>
    </w:p>
    <w:p w14:paraId="78E8D1C2" w14:textId="77777777" w:rsidR="00BF3B31" w:rsidRPr="002036F8" w:rsidRDefault="00000000">
      <w:pPr>
        <w:ind w:left="288" w:hanging="259"/>
        <w:rPr>
          <w:rFonts w:ascii="Roboto" w:hAnsi="Roboto"/>
        </w:rPr>
      </w:pPr>
      <w:r w:rsidRPr="002036F8">
        <w:rPr>
          <w:rFonts w:ascii="Roboto" w:hAnsi="Roboto"/>
        </w:rPr>
        <w:t>• The current Philippines CLEWs model is national, energy-system focused, and runs on annual demands that are further split into 30 timeslices. This means the bridge must include both an annual demand transformation and a timeslice-profile transformation.</w:t>
      </w:r>
    </w:p>
    <w:p w14:paraId="16C40A52" w14:textId="77777777" w:rsidR="00BF3B31" w:rsidRPr="002036F8" w:rsidRDefault="00000000">
      <w:pPr>
        <w:ind w:left="288" w:hanging="259"/>
        <w:rPr>
          <w:rFonts w:ascii="Roboto" w:hAnsi="Roboto"/>
        </w:rPr>
      </w:pPr>
      <w:r w:rsidRPr="002036F8">
        <w:rPr>
          <w:rFonts w:ascii="Roboto" w:hAnsi="Roboto"/>
        </w:rPr>
        <w:t>• The integration priority is demand-first: OG informs CLEWs demand calculations through common macro-demographic assumptions, especially population and GDP growth.</w:t>
      </w:r>
    </w:p>
    <w:p w14:paraId="79CCB597" w14:textId="77777777" w:rsidR="00BF3B31" w:rsidRPr="002036F8" w:rsidRDefault="00000000">
      <w:pPr>
        <w:ind w:left="288" w:hanging="259"/>
        <w:rPr>
          <w:rFonts w:ascii="Roboto" w:hAnsi="Roboto"/>
        </w:rPr>
      </w:pPr>
      <w:r w:rsidRPr="002036F8">
        <w:rPr>
          <w:rFonts w:ascii="Roboto" w:hAnsi="Roboto"/>
        </w:rPr>
        <w:t>• The first CLEWs-to-OG feedbacks should be annual fuel imports, domestic extraction, and investment requirements. These are the bridge objects that matter earliest for macro-fiscal analysis.</w:t>
      </w:r>
    </w:p>
    <w:p w14:paraId="3D5F5ED6" w14:textId="77777777" w:rsidR="00BF3B31" w:rsidRPr="002036F8" w:rsidRDefault="00000000">
      <w:pPr>
        <w:ind w:left="288" w:hanging="259"/>
        <w:rPr>
          <w:rFonts w:ascii="Roboto" w:hAnsi="Roboto"/>
        </w:rPr>
      </w:pPr>
      <w:r w:rsidRPr="002036F8">
        <w:rPr>
          <w:rFonts w:ascii="Roboto" w:hAnsi="Roboto"/>
        </w:rPr>
        <w:t>• Emissions, land footprint, and water use should be retained as bridge outputs even when they do not directly enter the OG equilibrium. They determine scenario admissibility, policy comparison, and welfare interpretation.</w:t>
      </w:r>
    </w:p>
    <w:p w14:paraId="0EC610AF" w14:textId="77777777" w:rsidR="00BF3B31" w:rsidRPr="002036F8" w:rsidRDefault="00000000">
      <w:pPr>
        <w:pStyle w:val="Heading1"/>
        <w:rPr>
          <w:rFonts w:ascii="Roboto" w:hAnsi="Roboto"/>
        </w:rPr>
      </w:pPr>
      <w:r w:rsidRPr="002036F8">
        <w:rPr>
          <w:rFonts w:ascii="Roboto" w:hAnsi="Roboto"/>
          <w:b w:val="0"/>
        </w:rPr>
        <w:lastRenderedPageBreak/>
        <w:t>2. Bridge-layer schematic</w:t>
      </w:r>
    </w:p>
    <w:p w14:paraId="5F7AD45A" w14:textId="77777777" w:rsidR="00BF3B31" w:rsidRPr="002036F8" w:rsidRDefault="00000000">
      <w:pPr>
        <w:rPr>
          <w:rFonts w:ascii="Roboto" w:hAnsi="Roboto"/>
        </w:rPr>
      </w:pPr>
      <w:r w:rsidRPr="002036F8">
        <w:rPr>
          <w:rFonts w:ascii="Roboto" w:hAnsi="Roboto"/>
          <w:noProof/>
        </w:rPr>
        <w:drawing>
          <wp:inline distT="0" distB="0" distL="0" distR="0" wp14:anchorId="5552E64D" wp14:editId="6859EA9E">
            <wp:extent cx="6217920" cy="3756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g_clews_bridge_layer_graph_refin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652E" w14:textId="77777777" w:rsidR="00BF3B31" w:rsidRPr="002036F8" w:rsidRDefault="00000000">
      <w:pPr>
        <w:jc w:val="center"/>
        <w:rPr>
          <w:rFonts w:ascii="Roboto" w:hAnsi="Roboto"/>
        </w:rPr>
      </w:pPr>
      <w:r w:rsidRPr="002036F8">
        <w:rPr>
          <w:rFonts w:ascii="Roboto" w:hAnsi="Roboto"/>
          <w:i/>
        </w:rPr>
        <w:t>Figure 1. Refined OG–CLEWS bridge generalized from the Philippines overview, with the demand-first and scenario-feedback channels made explicit.</w:t>
      </w:r>
    </w:p>
    <w:p w14:paraId="30033914" w14:textId="77777777" w:rsidR="00BF3B31" w:rsidRPr="002036F8" w:rsidRDefault="00000000">
      <w:pPr>
        <w:pStyle w:val="Heading1"/>
        <w:rPr>
          <w:rFonts w:ascii="Roboto" w:hAnsi="Roboto"/>
        </w:rPr>
      </w:pPr>
      <w:r w:rsidRPr="002036F8">
        <w:rPr>
          <w:rFonts w:ascii="Roboto" w:hAnsi="Roboto"/>
          <w:b w:val="0"/>
        </w:rPr>
        <w:t>3. Required bridge transformations</w:t>
      </w:r>
    </w:p>
    <w:p w14:paraId="06B183EB" w14:textId="77777777" w:rsidR="00BF3B31" w:rsidRPr="002036F8" w:rsidRDefault="00000000">
      <w:pPr>
        <w:jc w:val="both"/>
        <w:rPr>
          <w:rFonts w:ascii="Roboto" w:hAnsi="Roboto"/>
        </w:rPr>
      </w:pPr>
      <w:r w:rsidRPr="002036F8">
        <w:rPr>
          <w:rFonts w:ascii="Roboto" w:hAnsi="Roboto"/>
          <w:b/>
        </w:rPr>
        <w:t xml:space="preserve">Notation. </w:t>
      </w:r>
      <w:r w:rsidRPr="002036F8">
        <w:rPr>
          <w:rFonts w:ascii="Roboto" w:hAnsi="Roboto"/>
        </w:rPr>
        <w:t xml:space="preserve">The formulas below are intentionally generic. Index </w:t>
      </w:r>
      <w:r w:rsidRPr="002036F8">
        <w:rPr>
          <w:rFonts w:ascii="Roboto" w:hAnsi="Roboto"/>
          <w:i/>
        </w:rPr>
        <w:t>f</w:t>
      </w:r>
      <w:r w:rsidRPr="002036F8">
        <w:rPr>
          <w:rFonts w:ascii="Roboto" w:hAnsi="Roboto"/>
        </w:rPr>
        <w:t xml:space="preserve"> denotes an end-use fuel or service in CLEWs; </w:t>
      </w:r>
      <w:r w:rsidRPr="002036F8">
        <w:rPr>
          <w:rFonts w:ascii="Roboto" w:hAnsi="Roboto"/>
        </w:rPr>
        <w:br/>
      </w:r>
    </w:p>
    <w:p w14:paraId="631E8511" w14:textId="77777777" w:rsidR="00BF3B31" w:rsidRPr="002036F8" w:rsidRDefault="00000000">
      <w:pPr>
        <w:rPr>
          <w:rFonts w:ascii="Roboto" w:hAnsi="Roboto"/>
        </w:rPr>
      </w:pPr>
      <w:r w:rsidRPr="002036F8">
        <w:rPr>
          <w:rFonts w:ascii="Roboto" w:hAnsi="Roboto"/>
          <w:sz w:val="18"/>
        </w:rPr>
        <w:t>Indices used below: i = OG consumption good; m = OG production sector; f = CLEWs fuel or end-use service; k = CLEWs technology or asset class; l = timeslice; t = year.</w:t>
      </w:r>
    </w:p>
    <w:p w14:paraId="24E3CDF2" w14:textId="77777777" w:rsidR="00BF3B31" w:rsidRDefault="00000000">
      <w:pPr>
        <w:pStyle w:val="Heading2"/>
        <w:rPr>
          <w:rFonts w:ascii="Roboto" w:hAnsi="Roboto"/>
          <w:b w:val="0"/>
        </w:rPr>
      </w:pPr>
      <w:r w:rsidRPr="002036F8">
        <w:rPr>
          <w:rFonts w:ascii="Roboto" w:hAnsi="Roboto"/>
          <w:b w:val="0"/>
        </w:rPr>
        <w:lastRenderedPageBreak/>
        <w:t xml:space="preserve">3.1 OG </w:t>
      </w:r>
      <w:r w:rsidRPr="002036F8">
        <w:rPr>
          <w:rFonts w:ascii="Times New Roman" w:hAnsi="Times New Roman" w:cs="Times New Roman"/>
          <w:b w:val="0"/>
        </w:rPr>
        <w:t>→</w:t>
      </w:r>
      <w:r w:rsidRPr="002036F8">
        <w:rPr>
          <w:rFonts w:ascii="Roboto" w:hAnsi="Roboto"/>
          <w:b w:val="0"/>
        </w:rPr>
        <w:t xml:space="preserve"> CLEWs annual demand mapping</w:t>
      </w:r>
    </w:p>
    <w:p w14:paraId="4E8519F9" w14:textId="7B1A902E" w:rsidR="002036F8" w:rsidRPr="002036F8" w:rsidRDefault="002036F8" w:rsidP="002036F8">
      <w:r w:rsidRPr="002036F8">
        <w:drawing>
          <wp:inline distT="0" distB="0" distL="0" distR="0" wp14:anchorId="451A2195" wp14:editId="5A1B02AE">
            <wp:extent cx="3949700" cy="2705100"/>
            <wp:effectExtent l="0" t="0" r="0" b="0"/>
            <wp:docPr id="202867611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76119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BF3B31" w:rsidRPr="002036F8" w14:paraId="5AE3C58E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52607E8D" w14:textId="77777777" w:rsidR="00BF3B31" w:rsidRPr="002036F8" w:rsidRDefault="00000000">
            <w:pPr>
              <w:jc w:val="center"/>
              <w:rPr>
                <w:rFonts w:ascii="Roboto" w:hAnsi="Roboto"/>
              </w:rPr>
            </w:pPr>
            <w:r w:rsidRPr="002036F8">
              <w:rPr>
                <w:rFonts w:ascii="Roboto" w:hAnsi="Roboto"/>
                <w:sz w:val="20"/>
              </w:rPr>
              <w:t>D_CLEWs[</w:t>
            </w:r>
            <w:proofErr w:type="gramStart"/>
            <w:r w:rsidRPr="002036F8">
              <w:rPr>
                <w:rFonts w:ascii="Roboto" w:hAnsi="Roboto"/>
                <w:sz w:val="20"/>
              </w:rPr>
              <w:t>f,t</w:t>
            </w:r>
            <w:proofErr w:type="gramEnd"/>
            <w:r w:rsidRPr="002036F8">
              <w:rPr>
                <w:rFonts w:ascii="Roboto" w:hAnsi="Roboto"/>
                <w:sz w:val="20"/>
              </w:rPr>
              <w:t>] = Σ_i B[</w:t>
            </w:r>
            <w:proofErr w:type="gramStart"/>
            <w:r w:rsidRPr="002036F8">
              <w:rPr>
                <w:rFonts w:ascii="Roboto" w:hAnsi="Roboto"/>
                <w:sz w:val="20"/>
              </w:rPr>
              <w:t>f,i</w:t>
            </w:r>
            <w:proofErr w:type="gramEnd"/>
            <w:r w:rsidRPr="002036F8">
              <w:rPr>
                <w:rFonts w:ascii="Roboto" w:hAnsi="Roboto"/>
                <w:sz w:val="20"/>
              </w:rPr>
              <w:t>]·C_OG[</w:t>
            </w:r>
            <w:proofErr w:type="gramStart"/>
            <w:r w:rsidRPr="002036F8">
              <w:rPr>
                <w:rFonts w:ascii="Roboto" w:hAnsi="Roboto"/>
                <w:sz w:val="20"/>
              </w:rPr>
              <w:t>i,t</w:t>
            </w:r>
            <w:proofErr w:type="gramEnd"/>
            <w:r w:rsidRPr="002036F8">
              <w:rPr>
                <w:rFonts w:ascii="Roboto" w:hAnsi="Roboto"/>
                <w:sz w:val="20"/>
              </w:rPr>
              <w:t>] + Σ_m A[</w:t>
            </w:r>
            <w:proofErr w:type="gramStart"/>
            <w:r w:rsidRPr="002036F8">
              <w:rPr>
                <w:rFonts w:ascii="Roboto" w:hAnsi="Roboto"/>
                <w:sz w:val="20"/>
              </w:rPr>
              <w:t>f,m</w:t>
            </w:r>
            <w:proofErr w:type="gramEnd"/>
            <w:r w:rsidRPr="002036F8">
              <w:rPr>
                <w:rFonts w:ascii="Roboto" w:hAnsi="Roboto"/>
                <w:sz w:val="20"/>
              </w:rPr>
              <w:t>]·Y_OG[</w:t>
            </w:r>
            <w:proofErr w:type="gramStart"/>
            <w:r w:rsidRPr="002036F8">
              <w:rPr>
                <w:rFonts w:ascii="Roboto" w:hAnsi="Roboto"/>
                <w:sz w:val="20"/>
              </w:rPr>
              <w:t>m,t</w:t>
            </w:r>
            <w:proofErr w:type="gramEnd"/>
            <w:r w:rsidRPr="002036F8">
              <w:rPr>
                <w:rFonts w:ascii="Roboto" w:hAnsi="Roboto"/>
                <w:sz w:val="20"/>
              </w:rPr>
              <w:t>] + a[f]·G_OG[t] + b[f]·Ig_OG[t]</w:t>
            </w:r>
          </w:p>
        </w:tc>
      </w:tr>
      <w:tr w:rsidR="00BF3B31" w:rsidRPr="002036F8" w14:paraId="0BA0C3E1" w14:textId="77777777">
        <w:trPr>
          <w:jc w:val="center"/>
        </w:trPr>
        <w:tc>
          <w:tcPr>
            <w:tcW w:w="9936" w:type="dxa"/>
          </w:tcPr>
          <w:p w14:paraId="6F1ECCB9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Use in bridge layer: Populates SpecifiedAnnualDemand for residential, services, transport, agriculture, water, and productive-energy end uses.</w:t>
            </w:r>
          </w:p>
        </w:tc>
      </w:tr>
      <w:tr w:rsidR="00BF3B31" w:rsidRPr="002036F8" w14:paraId="2EA7B6C6" w14:textId="77777777">
        <w:trPr>
          <w:jc w:val="center"/>
        </w:trPr>
        <w:tc>
          <w:tcPr>
            <w:tcW w:w="9936" w:type="dxa"/>
          </w:tcPr>
          <w:p w14:paraId="31874D28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Interpretation: B maps OG consumption goods into CLEWs demands; A maps OG sectoral output into productive-service demands. The a and b terms capture public-service and infrastructure-related demand.</w:t>
            </w:r>
          </w:p>
        </w:tc>
      </w:tr>
    </w:tbl>
    <w:p w14:paraId="731B8917" w14:textId="77777777" w:rsidR="00BF3B31" w:rsidRPr="002036F8" w:rsidRDefault="00BF3B31">
      <w:pPr>
        <w:rPr>
          <w:rFonts w:ascii="Roboto" w:hAnsi="Roboto"/>
        </w:rPr>
      </w:pPr>
    </w:p>
    <w:p w14:paraId="02673C48" w14:textId="77777777" w:rsidR="00BF3B31" w:rsidRDefault="00000000">
      <w:pPr>
        <w:pStyle w:val="Heading2"/>
        <w:rPr>
          <w:rFonts w:ascii="Roboto" w:hAnsi="Roboto"/>
          <w:b w:val="0"/>
        </w:rPr>
      </w:pPr>
      <w:r w:rsidRPr="002036F8">
        <w:rPr>
          <w:rFonts w:ascii="Roboto" w:hAnsi="Roboto"/>
          <w:b w:val="0"/>
        </w:rPr>
        <w:t xml:space="preserve">3.2 Annual demand to CLEWs </w:t>
      </w:r>
      <w:proofErr w:type="spellStart"/>
      <w:r w:rsidRPr="002036F8">
        <w:rPr>
          <w:rFonts w:ascii="Roboto" w:hAnsi="Roboto"/>
          <w:b w:val="0"/>
        </w:rPr>
        <w:t>timeslice</w:t>
      </w:r>
      <w:proofErr w:type="spellEnd"/>
      <w:r w:rsidRPr="002036F8">
        <w:rPr>
          <w:rFonts w:ascii="Roboto" w:hAnsi="Roboto"/>
          <w:b w:val="0"/>
        </w:rPr>
        <w:t xml:space="preserve"> demand</w:t>
      </w:r>
    </w:p>
    <w:p w14:paraId="6D76EABC" w14:textId="29E45F3B" w:rsidR="002036F8" w:rsidRPr="002036F8" w:rsidRDefault="002036F8" w:rsidP="002036F8">
      <w:r w:rsidRPr="002036F8">
        <w:drawing>
          <wp:inline distT="0" distB="0" distL="0" distR="0" wp14:anchorId="39263639" wp14:editId="7ACC06FD">
            <wp:extent cx="5664200" cy="2184400"/>
            <wp:effectExtent l="0" t="0" r="0" b="0"/>
            <wp:docPr id="198617293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72933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BF3B31" w:rsidRPr="002036F8" w14:paraId="4EE8CE44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4D805279" w14:textId="77777777" w:rsidR="00BF3B31" w:rsidRPr="002036F8" w:rsidRDefault="00000000">
            <w:pPr>
              <w:jc w:val="center"/>
              <w:rPr>
                <w:rFonts w:ascii="Roboto" w:hAnsi="Roboto"/>
              </w:rPr>
            </w:pPr>
            <w:r w:rsidRPr="002036F8">
              <w:rPr>
                <w:rFonts w:ascii="Roboto" w:hAnsi="Roboto"/>
                <w:sz w:val="20"/>
              </w:rPr>
              <w:t>SpecifiedAnnualDemand[</w:t>
            </w:r>
            <w:proofErr w:type="gramStart"/>
            <w:r w:rsidRPr="002036F8">
              <w:rPr>
                <w:rFonts w:ascii="Roboto" w:hAnsi="Roboto"/>
                <w:sz w:val="20"/>
              </w:rPr>
              <w:t>f,t</w:t>
            </w:r>
            <w:proofErr w:type="gramEnd"/>
            <w:r w:rsidRPr="002036F8">
              <w:rPr>
                <w:rFonts w:ascii="Roboto" w:hAnsi="Roboto"/>
                <w:sz w:val="20"/>
              </w:rPr>
              <w:t>] = D_CLEWs[</w:t>
            </w:r>
            <w:proofErr w:type="gramStart"/>
            <w:r w:rsidRPr="002036F8">
              <w:rPr>
                <w:rFonts w:ascii="Roboto" w:hAnsi="Roboto"/>
                <w:sz w:val="20"/>
              </w:rPr>
              <w:t xml:space="preserve">f,t];   </w:t>
            </w:r>
            <w:proofErr w:type="gramEnd"/>
            <w:r w:rsidRPr="002036F8">
              <w:rPr>
                <w:rFonts w:ascii="Roboto" w:hAnsi="Roboto"/>
                <w:sz w:val="20"/>
              </w:rPr>
              <w:t>Demand[</w:t>
            </w:r>
            <w:proofErr w:type="gramStart"/>
            <w:r w:rsidRPr="002036F8">
              <w:rPr>
                <w:rFonts w:ascii="Roboto" w:hAnsi="Roboto"/>
                <w:sz w:val="20"/>
              </w:rPr>
              <w:t>f,l</w:t>
            </w:r>
            <w:proofErr w:type="gramEnd"/>
            <w:r w:rsidRPr="002036F8">
              <w:rPr>
                <w:rFonts w:ascii="Roboto" w:hAnsi="Roboto"/>
                <w:sz w:val="20"/>
              </w:rPr>
              <w:t>,t] = D_CLEWs[</w:t>
            </w:r>
            <w:proofErr w:type="gramStart"/>
            <w:r w:rsidRPr="002036F8">
              <w:rPr>
                <w:rFonts w:ascii="Roboto" w:hAnsi="Roboto"/>
                <w:sz w:val="20"/>
              </w:rPr>
              <w:t>f,t</w:t>
            </w:r>
            <w:proofErr w:type="gramEnd"/>
            <w:r w:rsidRPr="002036F8">
              <w:rPr>
                <w:rFonts w:ascii="Roboto" w:hAnsi="Roboto"/>
                <w:sz w:val="20"/>
              </w:rPr>
              <w:t>]·s[</w:t>
            </w:r>
            <w:proofErr w:type="gramStart"/>
            <w:r w:rsidRPr="002036F8">
              <w:rPr>
                <w:rFonts w:ascii="Roboto" w:hAnsi="Roboto"/>
                <w:sz w:val="20"/>
              </w:rPr>
              <w:t>f,l</w:t>
            </w:r>
            <w:proofErr w:type="gramEnd"/>
            <w:r w:rsidRPr="002036F8">
              <w:rPr>
                <w:rFonts w:ascii="Roboto" w:hAnsi="Roboto"/>
                <w:sz w:val="20"/>
              </w:rPr>
              <w:t>,t</w:t>
            </w:r>
            <w:proofErr w:type="gramStart"/>
            <w:r w:rsidRPr="002036F8">
              <w:rPr>
                <w:rFonts w:ascii="Roboto" w:hAnsi="Roboto"/>
                <w:sz w:val="20"/>
              </w:rPr>
              <w:t xml:space="preserve">];   </w:t>
            </w:r>
            <w:proofErr w:type="gramEnd"/>
            <w:r w:rsidRPr="002036F8">
              <w:rPr>
                <w:rFonts w:ascii="Roboto" w:hAnsi="Roboto"/>
                <w:sz w:val="20"/>
              </w:rPr>
              <w:t>Σ_l s[</w:t>
            </w:r>
            <w:proofErr w:type="gramStart"/>
            <w:r w:rsidRPr="002036F8">
              <w:rPr>
                <w:rFonts w:ascii="Roboto" w:hAnsi="Roboto"/>
                <w:sz w:val="20"/>
              </w:rPr>
              <w:t>f,l</w:t>
            </w:r>
            <w:proofErr w:type="gramEnd"/>
            <w:r w:rsidRPr="002036F8">
              <w:rPr>
                <w:rFonts w:ascii="Roboto" w:hAnsi="Roboto"/>
                <w:sz w:val="20"/>
              </w:rPr>
              <w:t>,t] = 1</w:t>
            </w:r>
          </w:p>
        </w:tc>
      </w:tr>
      <w:tr w:rsidR="00BF3B31" w:rsidRPr="002036F8" w14:paraId="645AABFC" w14:textId="77777777">
        <w:trPr>
          <w:jc w:val="center"/>
        </w:trPr>
        <w:tc>
          <w:tcPr>
            <w:tcW w:w="9936" w:type="dxa"/>
          </w:tcPr>
          <w:p w14:paraId="543DDD2B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Use in bridge layer: Converts annual demand from OG into the timeslice structure required by OSeMOSYS/CLEWs.</w:t>
            </w:r>
          </w:p>
        </w:tc>
      </w:tr>
      <w:tr w:rsidR="00BF3B31" w:rsidRPr="002036F8" w14:paraId="54F61D31" w14:textId="77777777">
        <w:trPr>
          <w:jc w:val="center"/>
        </w:trPr>
        <w:tc>
          <w:tcPr>
            <w:tcW w:w="9936" w:type="dxa"/>
          </w:tcPr>
          <w:p w14:paraId="0584DBEF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Interpretation: Because the Philippines model uses 30 timeslices, annual demand must be paired with a demand-profile vector s[f,l,t]. OG-Core does not produce this profile natively; it must come from historical load shapes, engineering assumptions, or an auxiliary demand module.</w:t>
            </w:r>
          </w:p>
        </w:tc>
      </w:tr>
    </w:tbl>
    <w:p w14:paraId="00CAB194" w14:textId="77777777" w:rsidR="00BF3B31" w:rsidRPr="002036F8" w:rsidRDefault="00BF3B31">
      <w:pPr>
        <w:rPr>
          <w:rFonts w:ascii="Roboto" w:hAnsi="Roboto"/>
        </w:rPr>
      </w:pPr>
    </w:p>
    <w:p w14:paraId="7B0B26E5" w14:textId="77777777" w:rsidR="00BF3B31" w:rsidRDefault="00000000">
      <w:pPr>
        <w:pStyle w:val="Heading2"/>
        <w:rPr>
          <w:rFonts w:ascii="Roboto" w:hAnsi="Roboto"/>
          <w:b w:val="0"/>
        </w:rPr>
      </w:pPr>
      <w:r w:rsidRPr="002036F8">
        <w:rPr>
          <w:rFonts w:ascii="Roboto" w:hAnsi="Roboto"/>
          <w:b w:val="0"/>
        </w:rPr>
        <w:lastRenderedPageBreak/>
        <w:t>3.3 Population–GDP harmonization rule</w:t>
      </w:r>
    </w:p>
    <w:p w14:paraId="0FA30572" w14:textId="1C0AC8DF" w:rsidR="002036F8" w:rsidRPr="002036F8" w:rsidRDefault="002036F8" w:rsidP="002036F8">
      <w:r w:rsidRPr="002036F8">
        <w:drawing>
          <wp:inline distT="0" distB="0" distL="0" distR="0" wp14:anchorId="64C8D95E" wp14:editId="4795EA77">
            <wp:extent cx="5791200" cy="1892300"/>
            <wp:effectExtent l="0" t="0" r="0" b="0"/>
            <wp:docPr id="184625914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5914" name="Picture 1" descr="A screen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BF3B31" w:rsidRPr="002036F8" w14:paraId="320D23CF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75E01EDE" w14:textId="77777777" w:rsidR="00BF3B31" w:rsidRPr="002036F8" w:rsidRDefault="00000000">
            <w:pPr>
              <w:jc w:val="center"/>
              <w:rPr>
                <w:rFonts w:ascii="Roboto" w:hAnsi="Roboto"/>
              </w:rPr>
            </w:pPr>
            <w:r w:rsidRPr="002036F8">
              <w:rPr>
                <w:rFonts w:ascii="Roboto" w:hAnsi="Roboto"/>
                <w:sz w:val="20"/>
              </w:rPr>
              <w:t>D_CLEWs[</w:t>
            </w:r>
            <w:proofErr w:type="gramStart"/>
            <w:r w:rsidRPr="002036F8">
              <w:rPr>
                <w:rFonts w:ascii="Roboto" w:hAnsi="Roboto"/>
                <w:sz w:val="20"/>
              </w:rPr>
              <w:t>f,t</w:t>
            </w:r>
            <w:proofErr w:type="gramEnd"/>
            <w:r w:rsidRPr="002036F8">
              <w:rPr>
                <w:rFonts w:ascii="Roboto" w:hAnsi="Roboto"/>
                <w:sz w:val="20"/>
              </w:rPr>
              <w:t>] = D0[f]·(POP[t]/POP[0</w:t>
            </w:r>
            <w:proofErr w:type="gramStart"/>
            <w:r w:rsidRPr="002036F8">
              <w:rPr>
                <w:rFonts w:ascii="Roboto" w:hAnsi="Roboto"/>
                <w:sz w:val="20"/>
              </w:rPr>
              <w:t>])^</w:t>
            </w:r>
            <w:proofErr w:type="gramEnd"/>
            <w:r w:rsidRPr="002036F8">
              <w:rPr>
                <w:rFonts w:ascii="Roboto" w:hAnsi="Roboto"/>
                <w:sz w:val="20"/>
              </w:rPr>
              <w:t>(η_pop[f</w:t>
            </w:r>
            <w:proofErr w:type="gramStart"/>
            <w:r w:rsidRPr="002036F8">
              <w:rPr>
                <w:rFonts w:ascii="Roboto" w:hAnsi="Roboto"/>
                <w:sz w:val="20"/>
              </w:rPr>
              <w:t>])·</w:t>
            </w:r>
            <w:proofErr w:type="gramEnd"/>
            <w:r w:rsidRPr="002036F8">
              <w:rPr>
                <w:rFonts w:ascii="Roboto" w:hAnsi="Roboto"/>
                <w:sz w:val="20"/>
              </w:rPr>
              <w:t>(GDP[t]/GDP[0</w:t>
            </w:r>
            <w:proofErr w:type="gramStart"/>
            <w:r w:rsidRPr="002036F8">
              <w:rPr>
                <w:rFonts w:ascii="Roboto" w:hAnsi="Roboto"/>
                <w:sz w:val="20"/>
              </w:rPr>
              <w:t>])^</w:t>
            </w:r>
            <w:proofErr w:type="gramEnd"/>
            <w:r w:rsidRPr="002036F8">
              <w:rPr>
                <w:rFonts w:ascii="Roboto" w:hAnsi="Roboto"/>
                <w:sz w:val="20"/>
              </w:rPr>
              <w:t>(η_gdp[f])</w:t>
            </w:r>
          </w:p>
        </w:tc>
      </w:tr>
      <w:tr w:rsidR="00BF3B31" w:rsidRPr="002036F8" w14:paraId="179C2230" w14:textId="77777777">
        <w:trPr>
          <w:jc w:val="center"/>
        </w:trPr>
        <w:tc>
          <w:tcPr>
            <w:tcW w:w="9936" w:type="dxa"/>
          </w:tcPr>
          <w:p w14:paraId="3D238B19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Use in bridge layer: Provides a consistency rule for demand projection when OG values are used to calibrate or validate the CLEWs demand baseline.</w:t>
            </w:r>
          </w:p>
        </w:tc>
      </w:tr>
      <w:tr w:rsidR="00BF3B31" w:rsidRPr="002036F8" w14:paraId="15CF3C32" w14:textId="77777777">
        <w:trPr>
          <w:jc w:val="center"/>
        </w:trPr>
        <w:tc>
          <w:tcPr>
            <w:tcW w:w="9936" w:type="dxa"/>
          </w:tcPr>
          <w:p w14:paraId="5BD858B0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Interpretation: This is the lightest-weight harmonization device when the OG side does not yet produce fully endogenous demand by service. It can be used as a bridge prior, a calibration check, or a fallback projection method.</w:t>
            </w:r>
          </w:p>
        </w:tc>
      </w:tr>
    </w:tbl>
    <w:p w14:paraId="4A44FEFD" w14:textId="77777777" w:rsidR="00BF3B31" w:rsidRPr="002036F8" w:rsidRDefault="00BF3B31">
      <w:pPr>
        <w:rPr>
          <w:rFonts w:ascii="Roboto" w:hAnsi="Roboto"/>
        </w:rPr>
      </w:pPr>
    </w:p>
    <w:p w14:paraId="53F70BEC" w14:textId="77777777" w:rsidR="00BF3B31" w:rsidRDefault="00000000">
      <w:pPr>
        <w:pStyle w:val="Heading2"/>
        <w:rPr>
          <w:rFonts w:ascii="Roboto" w:hAnsi="Roboto"/>
          <w:b w:val="0"/>
        </w:rPr>
      </w:pPr>
      <w:r w:rsidRPr="002036F8">
        <w:rPr>
          <w:rFonts w:ascii="Roboto" w:hAnsi="Roboto"/>
          <w:b w:val="0"/>
        </w:rPr>
        <w:t xml:space="preserve">3.4 CLEWs </w:t>
      </w:r>
      <w:r w:rsidRPr="002036F8">
        <w:rPr>
          <w:rFonts w:ascii="Times New Roman" w:hAnsi="Times New Roman" w:cs="Times New Roman"/>
          <w:b w:val="0"/>
        </w:rPr>
        <w:t>→</w:t>
      </w:r>
      <w:r w:rsidRPr="002036F8">
        <w:rPr>
          <w:rFonts w:ascii="Roboto" w:hAnsi="Roboto"/>
          <w:b w:val="0"/>
        </w:rPr>
        <w:t xml:space="preserve"> OG fuel-import and extraction mapping</w:t>
      </w:r>
    </w:p>
    <w:p w14:paraId="7C8EA6BB" w14:textId="6B792CF9" w:rsidR="002036F8" w:rsidRPr="002036F8" w:rsidRDefault="002036F8" w:rsidP="002036F8">
      <w:pPr>
        <w:tabs>
          <w:tab w:val="left" w:pos="2200"/>
        </w:tabs>
      </w:pPr>
      <w:r>
        <w:tab/>
      </w:r>
      <w:r w:rsidRPr="002036F8">
        <w:drawing>
          <wp:inline distT="0" distB="0" distL="0" distR="0" wp14:anchorId="22BF2AB8" wp14:editId="361E2219">
            <wp:extent cx="6197600" cy="2057400"/>
            <wp:effectExtent l="0" t="0" r="0" b="0"/>
            <wp:docPr id="2119335799" name="Picture 1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35799" name="Picture 1" descr="A screenshot of a black and white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BF3B31" w:rsidRPr="002036F8" w14:paraId="2937F374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479138AC" w14:textId="77777777" w:rsidR="00BF3B31" w:rsidRPr="002036F8" w:rsidRDefault="00000000">
            <w:pPr>
              <w:jc w:val="center"/>
              <w:rPr>
                <w:rFonts w:ascii="Roboto" w:hAnsi="Roboto"/>
              </w:rPr>
            </w:pPr>
            <w:r w:rsidRPr="002036F8">
              <w:rPr>
                <w:rFonts w:ascii="Roboto" w:hAnsi="Roboto"/>
                <w:sz w:val="20"/>
              </w:rPr>
              <w:t>M_fuel[t] = Σ_f μ[f]·ImportFuel_CLEWs[</w:t>
            </w:r>
            <w:proofErr w:type="gramStart"/>
            <w:r w:rsidRPr="002036F8">
              <w:rPr>
                <w:rFonts w:ascii="Roboto" w:hAnsi="Roboto"/>
                <w:sz w:val="20"/>
              </w:rPr>
              <w:t xml:space="preserve">f,t];   </w:t>
            </w:r>
            <w:proofErr w:type="gramEnd"/>
            <w:r w:rsidRPr="002036F8">
              <w:rPr>
                <w:rFonts w:ascii="Roboto" w:hAnsi="Roboto"/>
                <w:sz w:val="20"/>
              </w:rPr>
              <w:t>X_extract[t] = Σ_f ξ[f]·Extraction_CLEWs[</w:t>
            </w:r>
            <w:proofErr w:type="gramStart"/>
            <w:r w:rsidRPr="002036F8">
              <w:rPr>
                <w:rFonts w:ascii="Roboto" w:hAnsi="Roboto"/>
                <w:sz w:val="20"/>
              </w:rPr>
              <w:t>f,t</w:t>
            </w:r>
            <w:proofErr w:type="gramEnd"/>
            <w:r w:rsidRPr="002036F8">
              <w:rPr>
                <w:rFonts w:ascii="Roboto" w:hAnsi="Roboto"/>
                <w:sz w:val="20"/>
              </w:rPr>
              <w:t>]</w:t>
            </w:r>
          </w:p>
        </w:tc>
      </w:tr>
      <w:tr w:rsidR="00BF3B31" w:rsidRPr="002036F8" w14:paraId="6A27EA25" w14:textId="77777777">
        <w:trPr>
          <w:jc w:val="center"/>
        </w:trPr>
        <w:tc>
          <w:tcPr>
            <w:tcW w:w="9936" w:type="dxa"/>
          </w:tcPr>
          <w:p w14:paraId="6283823B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Use in bridge layer: Translates CLEWs energy-system results into macro-relevant external-dependence and domestic-resource objects for OG.</w:t>
            </w:r>
          </w:p>
        </w:tc>
      </w:tr>
      <w:tr w:rsidR="00BF3B31" w:rsidRPr="002036F8" w14:paraId="18F8C07A" w14:textId="77777777">
        <w:trPr>
          <w:jc w:val="center"/>
        </w:trPr>
        <w:tc>
          <w:tcPr>
            <w:tcW w:w="9936" w:type="dxa"/>
          </w:tcPr>
          <w:p w14:paraId="184E900B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Interpretation: The μ and ξ coefficients convert physical imports and extraction into the value or wedge representation required by OG. Depending on calibration, these can enter as import-bill shocks, resource-income shocks, or production-cost wedges.</w:t>
            </w:r>
          </w:p>
        </w:tc>
      </w:tr>
    </w:tbl>
    <w:p w14:paraId="19FCD0EE" w14:textId="77777777" w:rsidR="00BF3B31" w:rsidRPr="002036F8" w:rsidRDefault="00BF3B31">
      <w:pPr>
        <w:rPr>
          <w:rFonts w:ascii="Roboto" w:hAnsi="Roboto"/>
        </w:rPr>
      </w:pPr>
    </w:p>
    <w:p w14:paraId="12E7EE50" w14:textId="77777777" w:rsidR="00BF3B31" w:rsidRDefault="00000000">
      <w:pPr>
        <w:pStyle w:val="Heading2"/>
        <w:rPr>
          <w:rFonts w:ascii="Roboto" w:hAnsi="Roboto"/>
          <w:b w:val="0"/>
        </w:rPr>
      </w:pPr>
      <w:r w:rsidRPr="002036F8">
        <w:rPr>
          <w:rFonts w:ascii="Roboto" w:hAnsi="Roboto"/>
          <w:b w:val="0"/>
        </w:rPr>
        <w:lastRenderedPageBreak/>
        <w:t xml:space="preserve">3.5 CLEWs </w:t>
      </w:r>
      <w:r w:rsidRPr="002036F8">
        <w:rPr>
          <w:rFonts w:ascii="Times New Roman" w:hAnsi="Times New Roman" w:cs="Times New Roman"/>
          <w:b w:val="0"/>
        </w:rPr>
        <w:t>→</w:t>
      </w:r>
      <w:r w:rsidRPr="002036F8">
        <w:rPr>
          <w:rFonts w:ascii="Roboto" w:hAnsi="Roboto"/>
          <w:b w:val="0"/>
        </w:rPr>
        <w:t xml:space="preserve"> OG investment mapping</w:t>
      </w:r>
    </w:p>
    <w:p w14:paraId="7D5CC983" w14:textId="617DD854" w:rsidR="002036F8" w:rsidRPr="002036F8" w:rsidRDefault="002036F8" w:rsidP="002036F8">
      <w:r w:rsidRPr="002036F8">
        <w:drawing>
          <wp:inline distT="0" distB="0" distL="0" distR="0" wp14:anchorId="33E0F41F" wp14:editId="610A1C28">
            <wp:extent cx="5638800" cy="3352800"/>
            <wp:effectExtent l="0" t="0" r="0" b="0"/>
            <wp:docPr id="1149205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057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BF3B31" w:rsidRPr="002036F8" w14:paraId="46089FC4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66AE4136" w14:textId="77777777" w:rsidR="00BF3B31" w:rsidRPr="002036F8" w:rsidRDefault="00000000">
            <w:pPr>
              <w:jc w:val="center"/>
              <w:rPr>
                <w:rFonts w:ascii="Roboto" w:hAnsi="Roboto"/>
              </w:rPr>
            </w:pPr>
            <w:r w:rsidRPr="002036F8">
              <w:rPr>
                <w:rFonts w:ascii="Roboto" w:hAnsi="Roboto"/>
                <w:sz w:val="20"/>
              </w:rPr>
              <w:t>Ig_OG[</w:t>
            </w:r>
            <w:proofErr w:type="gramStart"/>
            <w:r w:rsidRPr="002036F8">
              <w:rPr>
                <w:rFonts w:ascii="Roboto" w:hAnsi="Roboto"/>
                <w:sz w:val="20"/>
              </w:rPr>
              <w:t>m,t</w:t>
            </w:r>
            <w:proofErr w:type="gramEnd"/>
            <w:r w:rsidRPr="002036F8">
              <w:rPr>
                <w:rFonts w:ascii="Roboto" w:hAnsi="Roboto"/>
                <w:sz w:val="20"/>
              </w:rPr>
              <w:t>] = Σ_k H_pub[</w:t>
            </w:r>
            <w:proofErr w:type="gramStart"/>
            <w:r w:rsidRPr="002036F8">
              <w:rPr>
                <w:rFonts w:ascii="Roboto" w:hAnsi="Roboto"/>
                <w:sz w:val="20"/>
              </w:rPr>
              <w:t>m,k</w:t>
            </w:r>
            <w:proofErr w:type="gramEnd"/>
            <w:r w:rsidRPr="002036F8">
              <w:rPr>
                <w:rFonts w:ascii="Roboto" w:hAnsi="Roboto"/>
                <w:sz w:val="20"/>
              </w:rPr>
              <w:t>]·Capex_CLEWs[</w:t>
            </w:r>
            <w:proofErr w:type="gramStart"/>
            <w:r w:rsidRPr="002036F8">
              <w:rPr>
                <w:rFonts w:ascii="Roboto" w:hAnsi="Roboto"/>
                <w:sz w:val="20"/>
              </w:rPr>
              <w:t xml:space="preserve">k,t];   </w:t>
            </w:r>
            <w:proofErr w:type="gramEnd"/>
            <w:r w:rsidRPr="002036F8">
              <w:rPr>
                <w:rFonts w:ascii="Roboto" w:hAnsi="Roboto"/>
                <w:sz w:val="20"/>
              </w:rPr>
              <w:t>Ipriv_OG[</w:t>
            </w:r>
            <w:proofErr w:type="gramStart"/>
            <w:r w:rsidRPr="002036F8">
              <w:rPr>
                <w:rFonts w:ascii="Roboto" w:hAnsi="Roboto"/>
                <w:sz w:val="20"/>
              </w:rPr>
              <w:t>m,t</w:t>
            </w:r>
            <w:proofErr w:type="gramEnd"/>
            <w:r w:rsidRPr="002036F8">
              <w:rPr>
                <w:rFonts w:ascii="Roboto" w:hAnsi="Roboto"/>
                <w:sz w:val="20"/>
              </w:rPr>
              <w:t>] = Σ_k H_priv[</w:t>
            </w:r>
            <w:proofErr w:type="gramStart"/>
            <w:r w:rsidRPr="002036F8">
              <w:rPr>
                <w:rFonts w:ascii="Roboto" w:hAnsi="Roboto"/>
                <w:sz w:val="20"/>
              </w:rPr>
              <w:t>m,k</w:t>
            </w:r>
            <w:proofErr w:type="gramEnd"/>
            <w:r w:rsidRPr="002036F8">
              <w:rPr>
                <w:rFonts w:ascii="Roboto" w:hAnsi="Roboto"/>
                <w:sz w:val="20"/>
              </w:rPr>
              <w:t>]·Capex_CLEWs[</w:t>
            </w:r>
            <w:proofErr w:type="gramStart"/>
            <w:r w:rsidRPr="002036F8">
              <w:rPr>
                <w:rFonts w:ascii="Roboto" w:hAnsi="Roboto"/>
                <w:sz w:val="20"/>
              </w:rPr>
              <w:t xml:space="preserve">k,t];   </w:t>
            </w:r>
            <w:proofErr w:type="gramEnd"/>
            <w:r w:rsidRPr="002036F8">
              <w:rPr>
                <w:rFonts w:ascii="Roboto" w:hAnsi="Roboto"/>
                <w:sz w:val="20"/>
              </w:rPr>
              <w:t>αI[t] = Σ_m Ig_OG[</w:t>
            </w:r>
            <w:proofErr w:type="gramStart"/>
            <w:r w:rsidRPr="002036F8">
              <w:rPr>
                <w:rFonts w:ascii="Roboto" w:hAnsi="Roboto"/>
                <w:sz w:val="20"/>
              </w:rPr>
              <w:t>m,t</w:t>
            </w:r>
            <w:proofErr w:type="gramEnd"/>
            <w:r w:rsidRPr="002036F8">
              <w:rPr>
                <w:rFonts w:ascii="Roboto" w:hAnsi="Roboto"/>
                <w:sz w:val="20"/>
              </w:rPr>
              <w:t>] / Y_OG[t]</w:t>
            </w:r>
          </w:p>
        </w:tc>
      </w:tr>
      <w:tr w:rsidR="00BF3B31" w:rsidRPr="002036F8" w14:paraId="378D547B" w14:textId="77777777">
        <w:trPr>
          <w:jc w:val="center"/>
        </w:trPr>
        <w:tc>
          <w:tcPr>
            <w:tcW w:w="9936" w:type="dxa"/>
          </w:tcPr>
          <w:p w14:paraId="53E5F24D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Use in bridge layer: Separates public and private CLEWs capital expenditure and routes each to the correct OG investment object.</w:t>
            </w:r>
          </w:p>
        </w:tc>
      </w:tr>
      <w:tr w:rsidR="00BF3B31" w:rsidRPr="002036F8" w14:paraId="3AE40575" w14:textId="77777777">
        <w:trPr>
          <w:jc w:val="center"/>
        </w:trPr>
        <w:tc>
          <w:tcPr>
            <w:tcW w:w="9936" w:type="dxa"/>
          </w:tcPr>
          <w:p w14:paraId="43EECAB9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Interpretation: H_pub and H_priv are concordance matrices from CLEWs technologies to OG sectors. This is the minimum transformation needed for a macro-fiscal reading of energy-transition or resilience scenarios.</w:t>
            </w:r>
          </w:p>
        </w:tc>
      </w:tr>
    </w:tbl>
    <w:p w14:paraId="58B222B5" w14:textId="77777777" w:rsidR="00BF3B31" w:rsidRPr="002036F8" w:rsidRDefault="00BF3B31">
      <w:pPr>
        <w:rPr>
          <w:rFonts w:ascii="Roboto" w:hAnsi="Roboto"/>
        </w:rPr>
      </w:pPr>
    </w:p>
    <w:p w14:paraId="44EA655A" w14:textId="77777777" w:rsidR="00BF3B31" w:rsidRDefault="00000000">
      <w:pPr>
        <w:pStyle w:val="Heading2"/>
        <w:rPr>
          <w:rFonts w:ascii="Roboto" w:hAnsi="Roboto"/>
          <w:b w:val="0"/>
        </w:rPr>
      </w:pPr>
      <w:r w:rsidRPr="002036F8">
        <w:rPr>
          <w:rFonts w:ascii="Roboto" w:hAnsi="Roboto"/>
          <w:b w:val="0"/>
        </w:rPr>
        <w:t xml:space="preserve">3.6 CLEWs </w:t>
      </w:r>
      <w:r w:rsidRPr="002036F8">
        <w:rPr>
          <w:rFonts w:ascii="Times New Roman" w:hAnsi="Times New Roman" w:cs="Times New Roman"/>
          <w:b w:val="0"/>
        </w:rPr>
        <w:t>→</w:t>
      </w:r>
      <w:r w:rsidRPr="002036F8">
        <w:rPr>
          <w:rFonts w:ascii="Roboto" w:hAnsi="Roboto"/>
          <w:b w:val="0"/>
        </w:rPr>
        <w:t xml:space="preserve"> OG delivered-cost wedge</w:t>
      </w:r>
    </w:p>
    <w:p w14:paraId="49F2B2EC" w14:textId="66DD9850" w:rsidR="002036F8" w:rsidRPr="002036F8" w:rsidRDefault="002036F8" w:rsidP="002036F8">
      <w:r w:rsidRPr="002036F8">
        <w:drawing>
          <wp:inline distT="0" distB="0" distL="0" distR="0" wp14:anchorId="5E291F29" wp14:editId="2F1A8D85">
            <wp:extent cx="5994400" cy="2959100"/>
            <wp:effectExtent l="0" t="0" r="0" b="0"/>
            <wp:docPr id="268654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5466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BF3B31" w:rsidRPr="002036F8" w14:paraId="5F1F6F4E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6F3F013D" w14:textId="77777777" w:rsidR="00BF3B31" w:rsidRPr="002036F8" w:rsidRDefault="00000000">
            <w:pPr>
              <w:jc w:val="center"/>
              <w:rPr>
                <w:rFonts w:ascii="Roboto" w:hAnsi="Roboto"/>
              </w:rPr>
            </w:pPr>
            <w:r w:rsidRPr="002036F8">
              <w:rPr>
                <w:rFonts w:ascii="Roboto" w:hAnsi="Roboto"/>
                <w:sz w:val="20"/>
              </w:rPr>
              <w:t>uc[</w:t>
            </w:r>
            <w:proofErr w:type="gramStart"/>
            <w:r w:rsidRPr="002036F8">
              <w:rPr>
                <w:rFonts w:ascii="Roboto" w:hAnsi="Roboto"/>
                <w:sz w:val="20"/>
              </w:rPr>
              <w:t>f,t</w:t>
            </w:r>
            <w:proofErr w:type="gramEnd"/>
            <w:r w:rsidRPr="002036F8">
              <w:rPr>
                <w:rFonts w:ascii="Roboto" w:hAnsi="Roboto"/>
                <w:sz w:val="20"/>
              </w:rPr>
              <w:t>] = (OperatingCost[</w:t>
            </w:r>
            <w:proofErr w:type="gramStart"/>
            <w:r w:rsidRPr="002036F8">
              <w:rPr>
                <w:rFonts w:ascii="Roboto" w:hAnsi="Roboto"/>
                <w:sz w:val="20"/>
              </w:rPr>
              <w:t>f,t</w:t>
            </w:r>
            <w:proofErr w:type="gramEnd"/>
            <w:r w:rsidRPr="002036F8">
              <w:rPr>
                <w:rFonts w:ascii="Roboto" w:hAnsi="Roboto"/>
                <w:sz w:val="20"/>
              </w:rPr>
              <w:t>] + AnnualizedCapex[</w:t>
            </w:r>
            <w:proofErr w:type="gramStart"/>
            <w:r w:rsidRPr="002036F8">
              <w:rPr>
                <w:rFonts w:ascii="Roboto" w:hAnsi="Roboto"/>
                <w:sz w:val="20"/>
              </w:rPr>
              <w:t>f,t</w:t>
            </w:r>
            <w:proofErr w:type="gramEnd"/>
            <w:r w:rsidRPr="002036F8">
              <w:rPr>
                <w:rFonts w:ascii="Roboto" w:hAnsi="Roboto"/>
                <w:sz w:val="20"/>
              </w:rPr>
              <w:t>] + EmissionPenalty[</w:t>
            </w:r>
            <w:proofErr w:type="gramStart"/>
            <w:r w:rsidRPr="002036F8">
              <w:rPr>
                <w:rFonts w:ascii="Roboto" w:hAnsi="Roboto"/>
                <w:sz w:val="20"/>
              </w:rPr>
              <w:t>f,t</w:t>
            </w:r>
            <w:proofErr w:type="gramEnd"/>
            <w:r w:rsidRPr="002036F8">
              <w:rPr>
                <w:rFonts w:ascii="Roboto" w:hAnsi="Roboto"/>
                <w:sz w:val="20"/>
              </w:rPr>
              <w:t>]) / DeliveredQuantity[</w:t>
            </w:r>
            <w:proofErr w:type="gramStart"/>
            <w:r w:rsidRPr="002036F8">
              <w:rPr>
                <w:rFonts w:ascii="Roboto" w:hAnsi="Roboto"/>
                <w:sz w:val="20"/>
              </w:rPr>
              <w:t>f,t</w:t>
            </w:r>
            <w:proofErr w:type="gramEnd"/>
            <w:r w:rsidRPr="002036F8">
              <w:rPr>
                <w:rFonts w:ascii="Roboto" w:hAnsi="Roboto"/>
                <w:sz w:val="20"/>
              </w:rPr>
              <w:t>]</w:t>
            </w:r>
          </w:p>
        </w:tc>
      </w:tr>
      <w:tr w:rsidR="00BF3B31" w:rsidRPr="002036F8" w14:paraId="4D2C183E" w14:textId="77777777">
        <w:trPr>
          <w:jc w:val="center"/>
        </w:trPr>
        <w:tc>
          <w:tcPr>
            <w:tcW w:w="9936" w:type="dxa"/>
          </w:tcPr>
          <w:p w14:paraId="53FDDDA0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lastRenderedPageBreak/>
              <w:t>Use in bridge layer: Creates an annual unit-cost schedule that can shift household prices and firm input costs in OG.</w:t>
            </w:r>
          </w:p>
        </w:tc>
      </w:tr>
      <w:tr w:rsidR="00BF3B31" w:rsidRPr="002036F8" w14:paraId="4ACE96B2" w14:textId="77777777">
        <w:trPr>
          <w:jc w:val="center"/>
        </w:trPr>
        <w:tc>
          <w:tcPr>
            <w:tcW w:w="9936" w:type="dxa"/>
          </w:tcPr>
          <w:p w14:paraId="2FAAE98D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Interpretation: Raw OSeMOSYS costs should not overwrite OG equilibrium prices. Instead, they should be converted into delivered-cost wedges by end use or fuel. AnnualizedCapex may be based on a financial recovery factor or another agreed annualization convention.</w:t>
            </w:r>
          </w:p>
        </w:tc>
      </w:tr>
    </w:tbl>
    <w:p w14:paraId="727807A6" w14:textId="77777777" w:rsidR="00BF3B31" w:rsidRPr="002036F8" w:rsidRDefault="00BF3B31">
      <w:pPr>
        <w:rPr>
          <w:rFonts w:ascii="Roboto" w:hAnsi="Roboto"/>
        </w:rPr>
      </w:pPr>
    </w:p>
    <w:p w14:paraId="1B8EF95D" w14:textId="57011B8F" w:rsidR="002036F8" w:rsidRPr="002036F8" w:rsidRDefault="00000000" w:rsidP="002036F8">
      <w:pPr>
        <w:pStyle w:val="Heading2"/>
        <w:rPr>
          <w:rFonts w:ascii="Roboto" w:hAnsi="Roboto"/>
          <w:b w:val="0"/>
        </w:rPr>
      </w:pPr>
      <w:r w:rsidRPr="002036F8">
        <w:rPr>
          <w:rFonts w:ascii="Roboto" w:hAnsi="Roboto"/>
          <w:b w:val="0"/>
        </w:rPr>
        <w:t>3.7 Transmission of delivered-cost wedges inside 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BF3B31" w:rsidRPr="002036F8" w14:paraId="22E242A4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4A2FB291" w14:textId="77777777" w:rsidR="00BF3B31" w:rsidRPr="002036F8" w:rsidRDefault="00000000">
            <w:pPr>
              <w:jc w:val="center"/>
              <w:rPr>
                <w:rFonts w:ascii="Roboto" w:hAnsi="Roboto"/>
              </w:rPr>
            </w:pPr>
            <w:r w:rsidRPr="002036F8">
              <w:rPr>
                <w:rFonts w:ascii="Roboto" w:hAnsi="Roboto"/>
                <w:sz w:val="20"/>
              </w:rPr>
              <w:t>Δp_household[</w:t>
            </w:r>
            <w:proofErr w:type="gramStart"/>
            <w:r w:rsidRPr="002036F8">
              <w:rPr>
                <w:rFonts w:ascii="Roboto" w:hAnsi="Roboto"/>
                <w:sz w:val="20"/>
              </w:rPr>
              <w:t>i,t</w:t>
            </w:r>
            <w:proofErr w:type="gramEnd"/>
            <w:r w:rsidRPr="002036F8">
              <w:rPr>
                <w:rFonts w:ascii="Roboto" w:hAnsi="Roboto"/>
                <w:sz w:val="20"/>
              </w:rPr>
              <w:t>] = Σ_f P_hh[</w:t>
            </w:r>
            <w:proofErr w:type="gramStart"/>
            <w:r w:rsidRPr="002036F8">
              <w:rPr>
                <w:rFonts w:ascii="Roboto" w:hAnsi="Roboto"/>
                <w:sz w:val="20"/>
              </w:rPr>
              <w:t>i,f</w:t>
            </w:r>
            <w:proofErr w:type="gramEnd"/>
            <w:r w:rsidRPr="002036F8">
              <w:rPr>
                <w:rFonts w:ascii="Roboto" w:hAnsi="Roboto"/>
                <w:sz w:val="20"/>
              </w:rPr>
              <w:t>]·Δuc[</w:t>
            </w:r>
            <w:proofErr w:type="gramStart"/>
            <w:r w:rsidRPr="002036F8">
              <w:rPr>
                <w:rFonts w:ascii="Roboto" w:hAnsi="Roboto"/>
                <w:sz w:val="20"/>
              </w:rPr>
              <w:t xml:space="preserve">f,t];   </w:t>
            </w:r>
            <w:proofErr w:type="gramEnd"/>
            <w:r w:rsidRPr="002036F8">
              <w:rPr>
                <w:rFonts w:ascii="Roboto" w:hAnsi="Roboto"/>
                <w:sz w:val="20"/>
              </w:rPr>
              <w:t>Δc_firm[</w:t>
            </w:r>
            <w:proofErr w:type="gramStart"/>
            <w:r w:rsidRPr="002036F8">
              <w:rPr>
                <w:rFonts w:ascii="Roboto" w:hAnsi="Roboto"/>
                <w:sz w:val="20"/>
              </w:rPr>
              <w:t>m,t</w:t>
            </w:r>
            <w:proofErr w:type="gramEnd"/>
            <w:r w:rsidRPr="002036F8">
              <w:rPr>
                <w:rFonts w:ascii="Roboto" w:hAnsi="Roboto"/>
                <w:sz w:val="20"/>
              </w:rPr>
              <w:t>] = Σ_f P_firm[</w:t>
            </w:r>
            <w:proofErr w:type="gramStart"/>
            <w:r w:rsidRPr="002036F8">
              <w:rPr>
                <w:rFonts w:ascii="Roboto" w:hAnsi="Roboto"/>
                <w:sz w:val="20"/>
              </w:rPr>
              <w:t>m,f</w:t>
            </w:r>
            <w:proofErr w:type="gramEnd"/>
            <w:r w:rsidRPr="002036F8">
              <w:rPr>
                <w:rFonts w:ascii="Roboto" w:hAnsi="Roboto"/>
                <w:sz w:val="20"/>
              </w:rPr>
              <w:t>]·Δuc[</w:t>
            </w:r>
            <w:proofErr w:type="gramStart"/>
            <w:r w:rsidRPr="002036F8">
              <w:rPr>
                <w:rFonts w:ascii="Roboto" w:hAnsi="Roboto"/>
                <w:sz w:val="20"/>
              </w:rPr>
              <w:t>f,t</w:t>
            </w:r>
            <w:proofErr w:type="gramEnd"/>
            <w:r w:rsidRPr="002036F8">
              <w:rPr>
                <w:rFonts w:ascii="Roboto" w:hAnsi="Roboto"/>
                <w:sz w:val="20"/>
              </w:rPr>
              <w:t>]</w:t>
            </w:r>
          </w:p>
        </w:tc>
      </w:tr>
      <w:tr w:rsidR="00BF3B31" w:rsidRPr="002036F8" w14:paraId="2EAE4ECD" w14:textId="77777777">
        <w:trPr>
          <w:jc w:val="center"/>
        </w:trPr>
        <w:tc>
          <w:tcPr>
            <w:tcW w:w="9936" w:type="dxa"/>
          </w:tcPr>
          <w:p w14:paraId="5D234F83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Use in bridge layer: Maps CLEWs unit-cost changes into consumption-price and production-cost channels in OG.</w:t>
            </w:r>
          </w:p>
        </w:tc>
      </w:tr>
      <w:tr w:rsidR="00BF3B31" w:rsidRPr="002036F8" w14:paraId="75C2E801" w14:textId="77777777">
        <w:trPr>
          <w:jc w:val="center"/>
        </w:trPr>
        <w:tc>
          <w:tcPr>
            <w:tcW w:w="9936" w:type="dxa"/>
          </w:tcPr>
          <w:p w14:paraId="7011CBC3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Interpretation: P_hh and P_firm are pass-through matrices. Depending on the OG implementation, these wedges can enter as consumption-tax equivalents, intermediate-cost shocks, or productivity-adjusted price wedges.</w:t>
            </w:r>
          </w:p>
        </w:tc>
      </w:tr>
    </w:tbl>
    <w:p w14:paraId="514B6B6B" w14:textId="77777777" w:rsidR="00BF3B31" w:rsidRPr="002036F8" w:rsidRDefault="00BF3B31">
      <w:pPr>
        <w:rPr>
          <w:rFonts w:ascii="Roboto" w:hAnsi="Roboto"/>
        </w:rPr>
      </w:pPr>
    </w:p>
    <w:p w14:paraId="5564C7DA" w14:textId="77777777" w:rsidR="00BF3B31" w:rsidRDefault="00000000">
      <w:pPr>
        <w:pStyle w:val="Heading2"/>
        <w:rPr>
          <w:rFonts w:ascii="Roboto" w:hAnsi="Roboto"/>
          <w:b w:val="0"/>
        </w:rPr>
      </w:pPr>
      <w:r w:rsidRPr="002036F8">
        <w:rPr>
          <w:rFonts w:ascii="Roboto" w:hAnsi="Roboto"/>
          <w:b w:val="0"/>
        </w:rPr>
        <w:t>3.8 CLEWs reporting bridges for emissions, land, and water</w:t>
      </w:r>
    </w:p>
    <w:p w14:paraId="51B143AB" w14:textId="21F71A50" w:rsidR="002036F8" w:rsidRPr="002036F8" w:rsidRDefault="002036F8" w:rsidP="002036F8">
      <w:r w:rsidRPr="002036F8">
        <w:drawing>
          <wp:inline distT="0" distB="0" distL="0" distR="0" wp14:anchorId="1FB92397" wp14:editId="6B8057B1">
            <wp:extent cx="6083300" cy="2959100"/>
            <wp:effectExtent l="0" t="0" r="0" b="0"/>
            <wp:docPr id="380922793" name="Picture 1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22793" name="Picture 1" descr="A screenshot of a black and white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BF3B31" w:rsidRPr="002036F8" w14:paraId="2C4BEDCF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1653EA30" w14:textId="77777777" w:rsidR="00BF3B31" w:rsidRPr="002036F8" w:rsidRDefault="00000000">
            <w:pPr>
              <w:jc w:val="center"/>
              <w:rPr>
                <w:rFonts w:ascii="Roboto" w:hAnsi="Roboto"/>
              </w:rPr>
            </w:pPr>
            <w:r w:rsidRPr="002036F8">
              <w:rPr>
                <w:rFonts w:ascii="Roboto" w:hAnsi="Roboto"/>
                <w:sz w:val="20"/>
              </w:rPr>
              <w:t>E[t] = Σ_k Emissions[</w:t>
            </w:r>
            <w:proofErr w:type="gramStart"/>
            <w:r w:rsidRPr="002036F8">
              <w:rPr>
                <w:rFonts w:ascii="Roboto" w:hAnsi="Roboto"/>
                <w:sz w:val="20"/>
              </w:rPr>
              <w:t xml:space="preserve">k,t];   </w:t>
            </w:r>
            <w:proofErr w:type="gramEnd"/>
            <w:r w:rsidRPr="002036F8">
              <w:rPr>
                <w:rFonts w:ascii="Roboto" w:hAnsi="Roboto"/>
                <w:sz w:val="20"/>
              </w:rPr>
              <w:t>Land_PV[t] = Σ_k λ_land[k]·Capacity_PV[</w:t>
            </w:r>
            <w:proofErr w:type="gramStart"/>
            <w:r w:rsidRPr="002036F8">
              <w:rPr>
                <w:rFonts w:ascii="Roboto" w:hAnsi="Roboto"/>
                <w:sz w:val="20"/>
              </w:rPr>
              <w:t xml:space="preserve">k,t];   </w:t>
            </w:r>
            <w:proofErr w:type="gramEnd"/>
            <w:r w:rsidRPr="002036F8">
              <w:rPr>
                <w:rFonts w:ascii="Roboto" w:hAnsi="Roboto"/>
                <w:sz w:val="20"/>
              </w:rPr>
              <w:t>Water_power[t] = Σ_k ω_water[k]·Generation_thermal[</w:t>
            </w:r>
            <w:proofErr w:type="gramStart"/>
            <w:r w:rsidRPr="002036F8">
              <w:rPr>
                <w:rFonts w:ascii="Roboto" w:hAnsi="Roboto"/>
                <w:sz w:val="20"/>
              </w:rPr>
              <w:t>k,t</w:t>
            </w:r>
            <w:proofErr w:type="gramEnd"/>
            <w:r w:rsidRPr="002036F8">
              <w:rPr>
                <w:rFonts w:ascii="Roboto" w:hAnsi="Roboto"/>
                <w:sz w:val="20"/>
              </w:rPr>
              <w:t>]</w:t>
            </w:r>
          </w:p>
        </w:tc>
      </w:tr>
      <w:tr w:rsidR="00BF3B31" w:rsidRPr="002036F8" w14:paraId="22CBAA8B" w14:textId="77777777">
        <w:trPr>
          <w:jc w:val="center"/>
        </w:trPr>
        <w:tc>
          <w:tcPr>
            <w:tcW w:w="9936" w:type="dxa"/>
          </w:tcPr>
          <w:p w14:paraId="77EEE4C7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Use in bridge layer: Retains climate-resource outputs as policy-screening objects and auxiliary impact channels for the coupled model.</w:t>
            </w:r>
          </w:p>
        </w:tc>
      </w:tr>
      <w:tr w:rsidR="00BF3B31" w:rsidRPr="002036F8" w14:paraId="78443F8D" w14:textId="77777777">
        <w:trPr>
          <w:jc w:val="center"/>
        </w:trPr>
        <w:tc>
          <w:tcPr>
            <w:tcW w:w="9936" w:type="dxa"/>
          </w:tcPr>
          <w:p w14:paraId="7A5A60E6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Interpretation: These variables may remain outside the core OG equilibrium in an initial coupling, but they are indispensable for evaluating NDC consistency, land competition, cooling-water stress, and off-model damage channels.</w:t>
            </w:r>
          </w:p>
        </w:tc>
      </w:tr>
    </w:tbl>
    <w:p w14:paraId="6D4708EB" w14:textId="77777777" w:rsidR="00BF3B31" w:rsidRPr="002036F8" w:rsidRDefault="00BF3B31">
      <w:pPr>
        <w:rPr>
          <w:rFonts w:ascii="Roboto" w:hAnsi="Roboto"/>
        </w:rPr>
      </w:pPr>
    </w:p>
    <w:p w14:paraId="592E1395" w14:textId="77777777" w:rsidR="00BF3B31" w:rsidRDefault="00000000">
      <w:pPr>
        <w:pStyle w:val="Heading2"/>
        <w:rPr>
          <w:rFonts w:ascii="Roboto" w:hAnsi="Roboto"/>
          <w:b w:val="0"/>
        </w:rPr>
      </w:pPr>
      <w:r w:rsidRPr="002036F8">
        <w:rPr>
          <w:rFonts w:ascii="Roboto" w:hAnsi="Roboto"/>
          <w:b w:val="0"/>
        </w:rPr>
        <w:lastRenderedPageBreak/>
        <w:t>3.9 Iterative coupling rule</w:t>
      </w:r>
    </w:p>
    <w:p w14:paraId="666ACE87" w14:textId="6C4D7282" w:rsidR="002036F8" w:rsidRPr="002036F8" w:rsidRDefault="002036F8" w:rsidP="002036F8">
      <w:r w:rsidRPr="002036F8">
        <w:drawing>
          <wp:inline distT="0" distB="0" distL="0" distR="0" wp14:anchorId="722EC74E" wp14:editId="448B7E24">
            <wp:extent cx="6235700" cy="3175000"/>
            <wp:effectExtent l="0" t="0" r="0" b="0"/>
            <wp:docPr id="1770371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7164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BF3B31" w:rsidRPr="002036F8" w14:paraId="6A088FA7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57B230D7" w14:textId="77777777" w:rsidR="00BF3B31" w:rsidRPr="002036F8" w:rsidRDefault="00000000">
            <w:pPr>
              <w:jc w:val="center"/>
              <w:rPr>
                <w:rFonts w:ascii="Roboto" w:hAnsi="Roboto"/>
              </w:rPr>
            </w:pPr>
            <w:r w:rsidRPr="002036F8">
              <w:rPr>
                <w:rFonts w:ascii="Roboto" w:hAnsi="Roboto"/>
                <w:sz w:val="20"/>
              </w:rPr>
              <w:t>D^(n+1) = Φ(C^OG(n), Y^OG(n), G^OG(n), Ig^OG(n)</w:t>
            </w:r>
            <w:proofErr w:type="gramStart"/>
            <w:r w:rsidRPr="002036F8">
              <w:rPr>
                <w:rFonts w:ascii="Roboto" w:hAnsi="Roboto"/>
                <w:sz w:val="20"/>
              </w:rPr>
              <w:t xml:space="preserve">);   </w:t>
            </w:r>
            <w:proofErr w:type="gramEnd"/>
            <w:r w:rsidRPr="002036F8">
              <w:rPr>
                <w:rFonts w:ascii="Roboto" w:hAnsi="Roboto"/>
                <w:sz w:val="20"/>
              </w:rPr>
              <w:t>Θ^(n) = Ψ(D^(n), policy</w:t>
            </w:r>
            <w:proofErr w:type="gramStart"/>
            <w:r w:rsidRPr="002036F8">
              <w:rPr>
                <w:rFonts w:ascii="Roboto" w:hAnsi="Roboto"/>
                <w:sz w:val="20"/>
              </w:rPr>
              <w:t xml:space="preserve">);   </w:t>
            </w:r>
            <w:proofErr w:type="gramEnd"/>
            <w:r w:rsidRPr="002036F8">
              <w:rPr>
                <w:rFonts w:ascii="Roboto" w:hAnsi="Roboto"/>
                <w:sz w:val="20"/>
              </w:rPr>
              <w:t>Ω^(n+1) = Γ(Θ^(n))</w:t>
            </w:r>
          </w:p>
        </w:tc>
      </w:tr>
      <w:tr w:rsidR="00BF3B31" w:rsidRPr="002036F8" w14:paraId="6055EFDF" w14:textId="77777777">
        <w:trPr>
          <w:jc w:val="center"/>
        </w:trPr>
        <w:tc>
          <w:tcPr>
            <w:tcW w:w="9936" w:type="dxa"/>
          </w:tcPr>
          <w:p w14:paraId="657BFAEB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Use in bridge layer: Defines the annual iteration sequence between models until bridge objects converge.</w:t>
            </w:r>
          </w:p>
        </w:tc>
      </w:tr>
      <w:tr w:rsidR="00BF3B31" w:rsidRPr="002036F8" w14:paraId="41C8B7CB" w14:textId="77777777">
        <w:trPr>
          <w:jc w:val="center"/>
        </w:trPr>
        <w:tc>
          <w:tcPr>
            <w:tcW w:w="9936" w:type="dxa"/>
          </w:tcPr>
          <w:p w14:paraId="5BE02A6E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Interpretation: Φ is the OG-to-CLEWs demand bridge, Ψ is the CLEWs solve, and Γ is the CLEWs-to-OG bridge. Convergence can be defined over annual demand, import bill, public investment, delivered costs, emissions, and debt-to-GDP.</w:t>
            </w:r>
          </w:p>
        </w:tc>
      </w:tr>
    </w:tbl>
    <w:p w14:paraId="4C3FCDEC" w14:textId="77777777" w:rsidR="00BF3B31" w:rsidRPr="002036F8" w:rsidRDefault="00BF3B31">
      <w:pPr>
        <w:rPr>
          <w:rFonts w:ascii="Roboto" w:hAnsi="Roboto"/>
        </w:rPr>
      </w:pPr>
    </w:p>
    <w:p w14:paraId="46CBB525" w14:textId="77777777" w:rsidR="00BF3B31" w:rsidRPr="002036F8" w:rsidRDefault="00000000">
      <w:pPr>
        <w:pStyle w:val="Heading1"/>
        <w:rPr>
          <w:rFonts w:ascii="Roboto" w:hAnsi="Roboto"/>
        </w:rPr>
      </w:pPr>
      <w:r w:rsidRPr="002036F8">
        <w:rPr>
          <w:rFonts w:ascii="Roboto" w:hAnsi="Roboto"/>
          <w:b w:val="0"/>
        </w:rPr>
        <w:t>4. Minimum mapping table for implementation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0"/>
        <w:gridCol w:w="1897"/>
        <w:gridCol w:w="1941"/>
        <w:gridCol w:w="2517"/>
        <w:gridCol w:w="1917"/>
      </w:tblGrid>
      <w:tr w:rsidR="00BF3B31" w:rsidRPr="002036F8" w14:paraId="497F8006" w14:textId="77777777">
        <w:trPr>
          <w:tblHeader/>
          <w:jc w:val="center"/>
        </w:trPr>
        <w:tc>
          <w:tcPr>
            <w:tcW w:w="1987" w:type="dxa"/>
            <w:shd w:val="clear" w:color="auto" w:fill="D9EAF7"/>
            <w:vAlign w:val="center"/>
          </w:tcPr>
          <w:p w14:paraId="0FF12130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  <w:b/>
              </w:rPr>
              <w:t>Bridge object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3092F2A0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  <w:b/>
              </w:rPr>
              <w:t>Formula or transformation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1072A2D8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  <w:b/>
              </w:rPr>
              <w:t>OG-side object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18DDED39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  <w:b/>
              </w:rPr>
              <w:t>CLEWs/OSeMOSYS-side object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14E25264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  <w:b/>
              </w:rPr>
              <w:t>Implementation note</w:t>
            </w:r>
          </w:p>
        </w:tc>
      </w:tr>
      <w:tr w:rsidR="00BF3B31" w:rsidRPr="002036F8" w14:paraId="43FD9A2F" w14:textId="77777777">
        <w:trPr>
          <w:jc w:val="center"/>
        </w:trPr>
        <w:tc>
          <w:tcPr>
            <w:tcW w:w="1987" w:type="dxa"/>
            <w:vAlign w:val="center"/>
          </w:tcPr>
          <w:p w14:paraId="3B5F3AC6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Demand level</w:t>
            </w:r>
          </w:p>
        </w:tc>
        <w:tc>
          <w:tcPr>
            <w:tcW w:w="1987" w:type="dxa"/>
            <w:vAlign w:val="center"/>
          </w:tcPr>
          <w:p w14:paraId="4F5E9A8A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D_CLEWs[f,t]</w:t>
            </w:r>
          </w:p>
        </w:tc>
        <w:tc>
          <w:tcPr>
            <w:tcW w:w="1987" w:type="dxa"/>
            <w:vAlign w:val="center"/>
          </w:tcPr>
          <w:p w14:paraId="7B5B8D73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C_i, Y_m, G, I_g</w:t>
            </w:r>
          </w:p>
        </w:tc>
        <w:tc>
          <w:tcPr>
            <w:tcW w:w="1987" w:type="dxa"/>
            <w:vAlign w:val="center"/>
          </w:tcPr>
          <w:p w14:paraId="024E7582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SpecifiedAnnualDemand</w:t>
            </w:r>
          </w:p>
        </w:tc>
        <w:tc>
          <w:tcPr>
            <w:tcW w:w="1987" w:type="dxa"/>
            <w:vAlign w:val="center"/>
          </w:tcPr>
          <w:p w14:paraId="16FEB1F4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Mandatory first bridge</w:t>
            </w:r>
          </w:p>
        </w:tc>
      </w:tr>
      <w:tr w:rsidR="00BF3B31" w:rsidRPr="002036F8" w14:paraId="24D1F359" w14:textId="77777777">
        <w:trPr>
          <w:jc w:val="center"/>
        </w:trPr>
        <w:tc>
          <w:tcPr>
            <w:tcW w:w="1987" w:type="dxa"/>
            <w:vAlign w:val="center"/>
          </w:tcPr>
          <w:p w14:paraId="7310E4EC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Demand shape</w:t>
            </w:r>
          </w:p>
        </w:tc>
        <w:tc>
          <w:tcPr>
            <w:tcW w:w="1987" w:type="dxa"/>
            <w:vAlign w:val="center"/>
          </w:tcPr>
          <w:p w14:paraId="6A2B287E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s[f,l,t]</w:t>
            </w:r>
          </w:p>
        </w:tc>
        <w:tc>
          <w:tcPr>
            <w:tcW w:w="1987" w:type="dxa"/>
            <w:vAlign w:val="center"/>
          </w:tcPr>
          <w:p w14:paraId="14BD663B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No native OG equivalent</w:t>
            </w:r>
          </w:p>
        </w:tc>
        <w:tc>
          <w:tcPr>
            <w:tcW w:w="1987" w:type="dxa"/>
            <w:vAlign w:val="center"/>
          </w:tcPr>
          <w:p w14:paraId="4107B3F5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SpecifiedDemandProfile</w:t>
            </w:r>
          </w:p>
        </w:tc>
        <w:tc>
          <w:tcPr>
            <w:tcW w:w="1987" w:type="dxa"/>
            <w:vAlign w:val="center"/>
          </w:tcPr>
          <w:p w14:paraId="5F8FA5A1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Needs auxiliary profile data</w:t>
            </w:r>
          </w:p>
        </w:tc>
      </w:tr>
      <w:tr w:rsidR="00BF3B31" w:rsidRPr="002036F8" w14:paraId="77D793F9" w14:textId="77777777">
        <w:trPr>
          <w:jc w:val="center"/>
        </w:trPr>
        <w:tc>
          <w:tcPr>
            <w:tcW w:w="1987" w:type="dxa"/>
            <w:vAlign w:val="center"/>
          </w:tcPr>
          <w:p w14:paraId="2571595A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Macro harmonization</w:t>
            </w:r>
          </w:p>
        </w:tc>
        <w:tc>
          <w:tcPr>
            <w:tcW w:w="1987" w:type="dxa"/>
            <w:vAlign w:val="center"/>
          </w:tcPr>
          <w:p w14:paraId="087D9822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POP/GDP scaling</w:t>
            </w:r>
          </w:p>
        </w:tc>
        <w:tc>
          <w:tcPr>
            <w:tcW w:w="1987" w:type="dxa"/>
            <w:vAlign w:val="center"/>
          </w:tcPr>
          <w:p w14:paraId="5541F9F0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Population, GDP path</w:t>
            </w:r>
          </w:p>
        </w:tc>
        <w:tc>
          <w:tcPr>
            <w:tcW w:w="1987" w:type="dxa"/>
            <w:vAlign w:val="center"/>
          </w:tcPr>
          <w:p w14:paraId="5F1E3EC2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Demand growth priors</w:t>
            </w:r>
          </w:p>
        </w:tc>
        <w:tc>
          <w:tcPr>
            <w:tcW w:w="1987" w:type="dxa"/>
            <w:vAlign w:val="center"/>
          </w:tcPr>
          <w:p w14:paraId="265A78C3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Use for baseline consistency</w:t>
            </w:r>
          </w:p>
        </w:tc>
      </w:tr>
      <w:tr w:rsidR="00BF3B31" w:rsidRPr="002036F8" w14:paraId="48077BCE" w14:textId="77777777">
        <w:trPr>
          <w:jc w:val="center"/>
        </w:trPr>
        <w:tc>
          <w:tcPr>
            <w:tcW w:w="1987" w:type="dxa"/>
            <w:vAlign w:val="center"/>
          </w:tcPr>
          <w:p w14:paraId="2454AE12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Fuel imports</w:t>
            </w:r>
          </w:p>
        </w:tc>
        <w:tc>
          <w:tcPr>
            <w:tcW w:w="1987" w:type="dxa"/>
            <w:vAlign w:val="center"/>
          </w:tcPr>
          <w:p w14:paraId="5FA6B0B2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M_fuel[t]</w:t>
            </w:r>
          </w:p>
        </w:tc>
        <w:tc>
          <w:tcPr>
            <w:tcW w:w="1987" w:type="dxa"/>
            <w:vAlign w:val="center"/>
          </w:tcPr>
          <w:p w14:paraId="18D5736F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Trade/resource wedge</w:t>
            </w:r>
          </w:p>
        </w:tc>
        <w:tc>
          <w:tcPr>
            <w:tcW w:w="1987" w:type="dxa"/>
            <w:vAlign w:val="center"/>
          </w:tcPr>
          <w:p w14:paraId="4FBA29D6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Import technologies or commodity imports</w:t>
            </w:r>
          </w:p>
        </w:tc>
        <w:tc>
          <w:tcPr>
            <w:tcW w:w="1987" w:type="dxa"/>
            <w:vAlign w:val="center"/>
          </w:tcPr>
          <w:p w14:paraId="33E3DFA5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Needed for energy-security stories</w:t>
            </w:r>
          </w:p>
        </w:tc>
      </w:tr>
      <w:tr w:rsidR="00BF3B31" w:rsidRPr="002036F8" w14:paraId="7FCD0A2B" w14:textId="77777777">
        <w:trPr>
          <w:jc w:val="center"/>
        </w:trPr>
        <w:tc>
          <w:tcPr>
            <w:tcW w:w="1987" w:type="dxa"/>
            <w:vAlign w:val="center"/>
          </w:tcPr>
          <w:p w14:paraId="622576E2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Domestic extraction</w:t>
            </w:r>
          </w:p>
        </w:tc>
        <w:tc>
          <w:tcPr>
            <w:tcW w:w="1987" w:type="dxa"/>
            <w:vAlign w:val="center"/>
          </w:tcPr>
          <w:p w14:paraId="524EAF44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X_extract[t]</w:t>
            </w:r>
          </w:p>
        </w:tc>
        <w:tc>
          <w:tcPr>
            <w:tcW w:w="1987" w:type="dxa"/>
            <w:vAlign w:val="center"/>
          </w:tcPr>
          <w:p w14:paraId="2FA6A483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Resource-income or cost wedge</w:t>
            </w:r>
          </w:p>
        </w:tc>
        <w:tc>
          <w:tcPr>
            <w:tcW w:w="1987" w:type="dxa"/>
            <w:vAlign w:val="center"/>
          </w:tcPr>
          <w:p w14:paraId="27020324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Extraction technologies</w:t>
            </w:r>
          </w:p>
        </w:tc>
        <w:tc>
          <w:tcPr>
            <w:tcW w:w="1987" w:type="dxa"/>
            <w:vAlign w:val="center"/>
          </w:tcPr>
          <w:p w14:paraId="133F55D8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Important where fossil depletion matters</w:t>
            </w:r>
          </w:p>
        </w:tc>
      </w:tr>
      <w:tr w:rsidR="00BF3B31" w:rsidRPr="002036F8" w14:paraId="4DD47E3F" w14:textId="77777777">
        <w:trPr>
          <w:jc w:val="center"/>
        </w:trPr>
        <w:tc>
          <w:tcPr>
            <w:tcW w:w="1987" w:type="dxa"/>
            <w:vAlign w:val="center"/>
          </w:tcPr>
          <w:p w14:paraId="780C177E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Public capex</w:t>
            </w:r>
          </w:p>
        </w:tc>
        <w:tc>
          <w:tcPr>
            <w:tcW w:w="1987" w:type="dxa"/>
            <w:vAlign w:val="center"/>
          </w:tcPr>
          <w:p w14:paraId="02EE30FE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Ig_OG[m,t]</w:t>
            </w:r>
          </w:p>
        </w:tc>
        <w:tc>
          <w:tcPr>
            <w:tcW w:w="1987" w:type="dxa"/>
            <w:vAlign w:val="center"/>
          </w:tcPr>
          <w:p w14:paraId="06DA2943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I_g, K_g, alpha_I</w:t>
            </w:r>
          </w:p>
        </w:tc>
        <w:tc>
          <w:tcPr>
            <w:tcW w:w="1987" w:type="dxa"/>
            <w:vAlign w:val="center"/>
          </w:tcPr>
          <w:p w14:paraId="7A6DB087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CapitalInvestment by public assets</w:t>
            </w:r>
          </w:p>
        </w:tc>
        <w:tc>
          <w:tcPr>
            <w:tcW w:w="1987" w:type="dxa"/>
            <w:vAlign w:val="center"/>
          </w:tcPr>
          <w:p w14:paraId="5D1A1CEC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Classify ownership before transfer</w:t>
            </w:r>
          </w:p>
        </w:tc>
      </w:tr>
      <w:tr w:rsidR="00BF3B31" w:rsidRPr="002036F8" w14:paraId="61FEB8CA" w14:textId="77777777">
        <w:trPr>
          <w:jc w:val="center"/>
        </w:trPr>
        <w:tc>
          <w:tcPr>
            <w:tcW w:w="1987" w:type="dxa"/>
            <w:vAlign w:val="center"/>
          </w:tcPr>
          <w:p w14:paraId="6BFC2208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Private capex</w:t>
            </w:r>
          </w:p>
        </w:tc>
        <w:tc>
          <w:tcPr>
            <w:tcW w:w="1987" w:type="dxa"/>
            <w:vAlign w:val="center"/>
          </w:tcPr>
          <w:p w14:paraId="42B2835E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Ipriv_OG[m,t]</w:t>
            </w:r>
          </w:p>
        </w:tc>
        <w:tc>
          <w:tcPr>
            <w:tcW w:w="1987" w:type="dxa"/>
            <w:vAlign w:val="center"/>
          </w:tcPr>
          <w:p w14:paraId="55668DBB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Private investment demand</w:t>
            </w:r>
          </w:p>
        </w:tc>
        <w:tc>
          <w:tcPr>
            <w:tcW w:w="1987" w:type="dxa"/>
            <w:vAlign w:val="center"/>
          </w:tcPr>
          <w:p w14:paraId="5A581DF1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CapitalInvestment by private assets</w:t>
            </w:r>
          </w:p>
        </w:tc>
        <w:tc>
          <w:tcPr>
            <w:tcW w:w="1987" w:type="dxa"/>
            <w:vAlign w:val="center"/>
          </w:tcPr>
          <w:p w14:paraId="01818CAF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Can be sectoral or aggregate</w:t>
            </w:r>
          </w:p>
        </w:tc>
      </w:tr>
      <w:tr w:rsidR="00BF3B31" w:rsidRPr="002036F8" w14:paraId="325A1075" w14:textId="77777777">
        <w:trPr>
          <w:jc w:val="center"/>
        </w:trPr>
        <w:tc>
          <w:tcPr>
            <w:tcW w:w="1987" w:type="dxa"/>
            <w:vAlign w:val="center"/>
          </w:tcPr>
          <w:p w14:paraId="04040577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Delivered cost</w:t>
            </w:r>
          </w:p>
        </w:tc>
        <w:tc>
          <w:tcPr>
            <w:tcW w:w="1987" w:type="dxa"/>
            <w:vAlign w:val="center"/>
          </w:tcPr>
          <w:p w14:paraId="29524A46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uc[f,t]</w:t>
            </w:r>
          </w:p>
        </w:tc>
        <w:tc>
          <w:tcPr>
            <w:tcW w:w="1987" w:type="dxa"/>
            <w:vAlign w:val="center"/>
          </w:tcPr>
          <w:p w14:paraId="54F82111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 xml:space="preserve">Household/firms </w:t>
            </w:r>
            <w:r w:rsidRPr="002036F8">
              <w:rPr>
                <w:rFonts w:ascii="Roboto" w:hAnsi="Roboto"/>
              </w:rPr>
              <w:lastRenderedPageBreak/>
              <w:t>cost wedges</w:t>
            </w:r>
          </w:p>
        </w:tc>
        <w:tc>
          <w:tcPr>
            <w:tcW w:w="1987" w:type="dxa"/>
            <w:vAlign w:val="center"/>
          </w:tcPr>
          <w:p w14:paraId="4E196783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lastRenderedPageBreak/>
              <w:t xml:space="preserve">OperatingCost, capex, </w:t>
            </w:r>
            <w:r w:rsidRPr="002036F8">
              <w:rPr>
                <w:rFonts w:ascii="Roboto" w:hAnsi="Roboto"/>
              </w:rPr>
              <w:lastRenderedPageBreak/>
              <w:t>delivered quantity</w:t>
            </w:r>
          </w:p>
        </w:tc>
        <w:tc>
          <w:tcPr>
            <w:tcW w:w="1987" w:type="dxa"/>
            <w:vAlign w:val="center"/>
          </w:tcPr>
          <w:p w14:paraId="3FA4DA5E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lastRenderedPageBreak/>
              <w:t xml:space="preserve">Do not replace OG </w:t>
            </w:r>
            <w:r w:rsidRPr="002036F8">
              <w:rPr>
                <w:rFonts w:ascii="Roboto" w:hAnsi="Roboto"/>
              </w:rPr>
              <w:lastRenderedPageBreak/>
              <w:t>prices directly</w:t>
            </w:r>
          </w:p>
        </w:tc>
      </w:tr>
      <w:tr w:rsidR="00BF3B31" w:rsidRPr="002036F8" w14:paraId="15B745D0" w14:textId="77777777">
        <w:trPr>
          <w:jc w:val="center"/>
        </w:trPr>
        <w:tc>
          <w:tcPr>
            <w:tcW w:w="1987" w:type="dxa"/>
            <w:vAlign w:val="center"/>
          </w:tcPr>
          <w:p w14:paraId="443616D8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lastRenderedPageBreak/>
              <w:t>Emissions</w:t>
            </w:r>
          </w:p>
        </w:tc>
        <w:tc>
          <w:tcPr>
            <w:tcW w:w="1987" w:type="dxa"/>
            <w:vAlign w:val="center"/>
          </w:tcPr>
          <w:p w14:paraId="6A173B1A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E[t]</w:t>
            </w:r>
          </w:p>
        </w:tc>
        <w:tc>
          <w:tcPr>
            <w:tcW w:w="1987" w:type="dxa"/>
            <w:vAlign w:val="center"/>
          </w:tcPr>
          <w:p w14:paraId="18433E19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Auxiliary damage/revenue channel</w:t>
            </w:r>
          </w:p>
        </w:tc>
        <w:tc>
          <w:tcPr>
            <w:tcW w:w="1987" w:type="dxa"/>
            <w:vAlign w:val="center"/>
          </w:tcPr>
          <w:p w14:paraId="66B1FCE7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AnnualEmissions</w:t>
            </w:r>
          </w:p>
        </w:tc>
        <w:tc>
          <w:tcPr>
            <w:tcW w:w="1987" w:type="dxa"/>
            <w:vAlign w:val="center"/>
          </w:tcPr>
          <w:p w14:paraId="5540101F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Can feed carbon policy or off-model effects</w:t>
            </w:r>
          </w:p>
        </w:tc>
      </w:tr>
      <w:tr w:rsidR="00BF3B31" w:rsidRPr="002036F8" w14:paraId="6D73CEA1" w14:textId="77777777">
        <w:trPr>
          <w:jc w:val="center"/>
        </w:trPr>
        <w:tc>
          <w:tcPr>
            <w:tcW w:w="1987" w:type="dxa"/>
            <w:vAlign w:val="center"/>
          </w:tcPr>
          <w:p w14:paraId="32FDFA28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Land/water</w:t>
            </w:r>
          </w:p>
        </w:tc>
        <w:tc>
          <w:tcPr>
            <w:tcW w:w="1987" w:type="dxa"/>
            <w:vAlign w:val="center"/>
          </w:tcPr>
          <w:p w14:paraId="54728FD8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Land_PV[t], Water_power[t]</w:t>
            </w:r>
          </w:p>
        </w:tc>
        <w:tc>
          <w:tcPr>
            <w:tcW w:w="1987" w:type="dxa"/>
            <w:vAlign w:val="center"/>
          </w:tcPr>
          <w:p w14:paraId="4A053DF7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Constraint or reporting object</w:t>
            </w:r>
          </w:p>
        </w:tc>
        <w:tc>
          <w:tcPr>
            <w:tcW w:w="1987" w:type="dxa"/>
            <w:vAlign w:val="center"/>
          </w:tcPr>
          <w:p w14:paraId="4627072B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PV capacity, thermal generation</w:t>
            </w:r>
          </w:p>
        </w:tc>
        <w:tc>
          <w:tcPr>
            <w:tcW w:w="1987" w:type="dxa"/>
            <w:vAlign w:val="center"/>
          </w:tcPr>
          <w:p w14:paraId="624ADFAD" w14:textId="77777777" w:rsidR="00BF3B31" w:rsidRPr="002036F8" w:rsidRDefault="00000000">
            <w:pPr>
              <w:rPr>
                <w:rFonts w:ascii="Roboto" w:hAnsi="Roboto"/>
              </w:rPr>
            </w:pPr>
            <w:r w:rsidRPr="002036F8">
              <w:rPr>
                <w:rFonts w:ascii="Roboto" w:hAnsi="Roboto"/>
              </w:rPr>
              <w:t>Useful for scenario admissibility</w:t>
            </w:r>
          </w:p>
        </w:tc>
      </w:tr>
    </w:tbl>
    <w:p w14:paraId="0ECAEE14" w14:textId="77777777" w:rsidR="00BF3B31" w:rsidRPr="002036F8" w:rsidRDefault="00000000">
      <w:pPr>
        <w:pStyle w:val="Heading1"/>
        <w:rPr>
          <w:rFonts w:ascii="Roboto" w:hAnsi="Roboto"/>
        </w:rPr>
      </w:pPr>
      <w:r w:rsidRPr="002036F8">
        <w:rPr>
          <w:rFonts w:ascii="Roboto" w:hAnsi="Roboto"/>
          <w:b w:val="0"/>
        </w:rPr>
        <w:t>5. Recommended insertion into the main annex</w:t>
      </w:r>
    </w:p>
    <w:p w14:paraId="1A1C24D9" w14:textId="77777777" w:rsidR="00BF3B31" w:rsidRPr="002036F8" w:rsidRDefault="00000000">
      <w:pPr>
        <w:ind w:left="288" w:hanging="259"/>
        <w:rPr>
          <w:rFonts w:ascii="Roboto" w:hAnsi="Roboto"/>
        </w:rPr>
      </w:pPr>
      <w:r w:rsidRPr="002036F8">
        <w:rPr>
          <w:rFonts w:ascii="Roboto" w:hAnsi="Roboto"/>
        </w:rPr>
        <w:t>• Insert this section immediately after the bridge-layer figure so that the conceptual diagram is followed by an operational formula set.</w:t>
      </w:r>
    </w:p>
    <w:p w14:paraId="44BE596C" w14:textId="77777777" w:rsidR="00BF3B31" w:rsidRPr="002036F8" w:rsidRDefault="00000000">
      <w:pPr>
        <w:ind w:left="288" w:hanging="259"/>
        <w:rPr>
          <w:rFonts w:ascii="Roboto" w:hAnsi="Roboto"/>
        </w:rPr>
      </w:pPr>
      <w:r w:rsidRPr="002036F8">
        <w:rPr>
          <w:rFonts w:ascii="Roboto" w:hAnsi="Roboto"/>
        </w:rPr>
        <w:t>• Treat equations 3.1 through 3.5 as the minimum viable bridge for a first linked implementation.</w:t>
      </w:r>
    </w:p>
    <w:p w14:paraId="55794DBD" w14:textId="77777777" w:rsidR="00BF3B31" w:rsidRPr="002036F8" w:rsidRDefault="00000000">
      <w:pPr>
        <w:ind w:left="288" w:hanging="259"/>
        <w:rPr>
          <w:rFonts w:ascii="Roboto" w:hAnsi="Roboto"/>
        </w:rPr>
      </w:pPr>
      <w:r w:rsidRPr="002036F8">
        <w:rPr>
          <w:rFonts w:ascii="Roboto" w:hAnsi="Roboto"/>
        </w:rPr>
        <w:t>• Treat equations 3.6 through 3.8 as the policy-analysis expansion layer needed for climate, affordability, and resource-risk analysis.</w:t>
      </w:r>
    </w:p>
    <w:p w14:paraId="29A82CC5" w14:textId="77777777" w:rsidR="00BF3B31" w:rsidRPr="002036F8" w:rsidRDefault="00000000">
      <w:pPr>
        <w:ind w:left="288" w:hanging="259"/>
        <w:rPr>
          <w:rFonts w:ascii="Roboto" w:hAnsi="Roboto"/>
        </w:rPr>
      </w:pPr>
      <w:r w:rsidRPr="002036F8">
        <w:rPr>
          <w:rFonts w:ascii="Roboto" w:hAnsi="Roboto"/>
        </w:rPr>
        <w:t>• Use equation 3.9 as the formal iteration rule and state the convergence criterion in the model documentation.</w:t>
      </w:r>
    </w:p>
    <w:p w14:paraId="33CA44A1" w14:textId="77777777" w:rsidR="00BF3B31" w:rsidRPr="002036F8" w:rsidRDefault="00000000">
      <w:pPr>
        <w:pStyle w:val="Heading1"/>
        <w:rPr>
          <w:rFonts w:ascii="Roboto" w:hAnsi="Roboto"/>
        </w:rPr>
      </w:pPr>
      <w:r w:rsidRPr="002036F8">
        <w:rPr>
          <w:rFonts w:ascii="Roboto" w:hAnsi="Roboto"/>
          <w:b w:val="0"/>
        </w:rPr>
        <w:t>6. Source basis used in this addendum</w:t>
      </w:r>
    </w:p>
    <w:p w14:paraId="71B79DC4" w14:textId="77777777" w:rsidR="00BF3B31" w:rsidRPr="002036F8" w:rsidRDefault="00000000">
      <w:pPr>
        <w:ind w:left="288" w:hanging="259"/>
        <w:rPr>
          <w:rFonts w:ascii="Roboto" w:hAnsi="Roboto"/>
        </w:rPr>
      </w:pPr>
      <w:r w:rsidRPr="002036F8">
        <w:rPr>
          <w:rFonts w:ascii="Roboto" w:hAnsi="Roboto"/>
        </w:rPr>
        <w:t>• User-uploaded “CLEWs Philippines - Overview,” especially the model-scope summary, integration pathways, and policy-scenario notes.</w:t>
      </w:r>
    </w:p>
    <w:p w14:paraId="2C2C5AC5" w14:textId="77777777" w:rsidR="00BF3B31" w:rsidRPr="002036F8" w:rsidRDefault="00000000">
      <w:pPr>
        <w:ind w:left="288" w:hanging="259"/>
        <w:rPr>
          <w:rFonts w:ascii="Roboto" w:hAnsi="Roboto"/>
        </w:rPr>
      </w:pPr>
      <w:r w:rsidRPr="002036F8">
        <w:rPr>
          <w:rFonts w:ascii="Roboto" w:hAnsi="Roboto"/>
        </w:rPr>
        <w:t xml:space="preserve">• Previously prepared OG-Core </w:t>
      </w:r>
      <w:r w:rsidRPr="002036F8">
        <w:rPr>
          <w:rFonts w:ascii="Apple Color Emoji" w:hAnsi="Apple Color Emoji" w:cs="Apple Color Emoji"/>
        </w:rPr>
        <w:t>↔</w:t>
      </w:r>
      <w:r w:rsidRPr="002036F8">
        <w:rPr>
          <w:rFonts w:ascii="Roboto" w:hAnsi="Roboto"/>
        </w:rPr>
        <w:t xml:space="preserve"> OSeMOSYS coupling map and refined Philippines-generalization annex in this conversation.</w:t>
      </w:r>
    </w:p>
    <w:p w14:paraId="3CA30711" w14:textId="77777777" w:rsidR="00BF3B31" w:rsidRPr="002036F8" w:rsidRDefault="00000000">
      <w:pPr>
        <w:ind w:left="288" w:hanging="259"/>
        <w:rPr>
          <w:rFonts w:ascii="Roboto" w:hAnsi="Roboto"/>
        </w:rPr>
      </w:pPr>
      <w:r w:rsidRPr="002036F8">
        <w:rPr>
          <w:rFonts w:ascii="Roboto" w:hAnsi="Roboto"/>
        </w:rPr>
        <w:t>• The general OG-Core and OSeMOSYS variable structures already summarized in the main mapping document; this addendum does not redefine those structures, but converts them into implementation-ready bridge formulas.</w:t>
      </w:r>
    </w:p>
    <w:sectPr w:rsidR="00BF3B31" w:rsidRPr="002036F8" w:rsidSect="00034616">
      <w:footerReference w:type="default" r:id="rId17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AA8E8" w14:textId="77777777" w:rsidR="00D34711" w:rsidRDefault="00D34711">
      <w:pPr>
        <w:spacing w:after="0" w:line="240" w:lineRule="auto"/>
      </w:pPr>
      <w:r>
        <w:separator/>
      </w:r>
    </w:p>
  </w:endnote>
  <w:endnote w:type="continuationSeparator" w:id="0">
    <w:p w14:paraId="5117DBA3" w14:textId="77777777" w:rsidR="00D34711" w:rsidRDefault="00D34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4CB77" w14:textId="77777777" w:rsidR="00BF3B31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87E68" w14:textId="77777777" w:rsidR="00D34711" w:rsidRDefault="00D34711">
      <w:pPr>
        <w:spacing w:after="0" w:line="240" w:lineRule="auto"/>
      </w:pPr>
      <w:r>
        <w:separator/>
      </w:r>
    </w:p>
  </w:footnote>
  <w:footnote w:type="continuationSeparator" w:id="0">
    <w:p w14:paraId="06A28801" w14:textId="77777777" w:rsidR="00D34711" w:rsidRDefault="00D347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2044746">
    <w:abstractNumId w:val="8"/>
  </w:num>
  <w:num w:numId="2" w16cid:durableId="2021351442">
    <w:abstractNumId w:val="6"/>
  </w:num>
  <w:num w:numId="3" w16cid:durableId="1540698960">
    <w:abstractNumId w:val="5"/>
  </w:num>
  <w:num w:numId="4" w16cid:durableId="813567456">
    <w:abstractNumId w:val="4"/>
  </w:num>
  <w:num w:numId="5" w16cid:durableId="103692994">
    <w:abstractNumId w:val="7"/>
  </w:num>
  <w:num w:numId="6" w16cid:durableId="2012295377">
    <w:abstractNumId w:val="3"/>
  </w:num>
  <w:num w:numId="7" w16cid:durableId="1819152521">
    <w:abstractNumId w:val="2"/>
  </w:num>
  <w:num w:numId="8" w16cid:durableId="47151068">
    <w:abstractNumId w:val="1"/>
  </w:num>
  <w:num w:numId="9" w16cid:durableId="781068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76D"/>
    <w:rsid w:val="00034616"/>
    <w:rsid w:val="0006063C"/>
    <w:rsid w:val="0015074B"/>
    <w:rsid w:val="002036F8"/>
    <w:rsid w:val="0029639D"/>
    <w:rsid w:val="00326F90"/>
    <w:rsid w:val="00AA1D8D"/>
    <w:rsid w:val="00B47730"/>
    <w:rsid w:val="00BF3B31"/>
    <w:rsid w:val="00CB0664"/>
    <w:rsid w:val="00D347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9B6D32"/>
  <w14:defaultImageDpi w14:val="300"/>
  <w15:docId w15:val="{B3C38041-9B52-F845-8E42-BD25DD876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379C39721F744481AC5EFF9B1DC798" ma:contentTypeVersion="44" ma:contentTypeDescription="Create a new document." ma:contentTypeScope="" ma:versionID="9ef31cb3ee3193d439c1ddcaaa3fce24">
  <xsd:schema xmlns:xsd="http://www.w3.org/2001/XMLSchema" xmlns:xs="http://www.w3.org/2001/XMLSchema" xmlns:p="http://schemas.microsoft.com/office/2006/metadata/properties" xmlns:ns1="http://schemas.microsoft.com/sharepoint/v3" xmlns:ns2="7d053c58-1f97-4d34-bcfa-28b8fa6aacc8" xmlns:ns3="b6f940df-ea07-477d-b617-ab56e5df8817" xmlns:ns4="985ec44e-1bab-4c0b-9df0-6ba128686fc9" targetNamespace="http://schemas.microsoft.com/office/2006/metadata/properties" ma:root="true" ma:fieldsID="7b8dbb7a0e81608dcecc3ef5a72dcaf9" ns1:_="" ns2:_="" ns3:_="" ns4:_="">
    <xsd:import namespace="http://schemas.microsoft.com/sharepoint/v3"/>
    <xsd:import namespace="7d053c58-1f97-4d34-bcfa-28b8fa6aacc8"/>
    <xsd:import namespace="b6f940df-ea07-477d-b617-ab56e5df8817"/>
    <xsd:import namespace="985ec44e-1bab-4c0b-9df0-6ba128686f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aavs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Theme" minOccurs="0"/>
                <xsd:element ref="ns3:SubmissionDatebyDPB" minOccurs="0"/>
                <xsd:element ref="ns3:Remark" minOccurs="0"/>
                <xsd:element ref="ns3:Category" minOccurs="0"/>
                <xsd:element ref="ns3:Priority" minOccurs="0"/>
                <xsd:element ref="ns3:Remarks" minOccurs="0"/>
                <xsd:element ref="ns3:Areaofwork" minOccurs="0"/>
                <xsd:element ref="ns3:ActivityOwner" minOccurs="0"/>
                <xsd:element ref="ns3:MediaServiceObjectDetectorVersions" minOccurs="0"/>
                <xsd:element ref="ns3:MediaServiceSearchProperties" minOccurs="0"/>
                <xsd:element ref="ns3:WBSE" minOccurs="0"/>
                <xsd:element ref="ns3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053c58-1f97-4d34-bcfa-28b8fa6aac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f940df-ea07-477d-b617-ab56e5df8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aavs" ma:index="18" nillable="true" ma:displayName="Due Date" ma:format="DateOnly" ma:internalName="aavs">
      <xsd:simpleType>
        <xsd:restriction base="dms:DateTim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78175662-8596-484a-92c7-351d01561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Theme" ma:index="25" nillable="true" ma:displayName="Status" ma:format="Dropdown" ma:internalName="Theme">
      <xsd:simpleType>
        <xsd:restriction base="dms:Choice">
          <xsd:enumeration value="Pending OD approval"/>
          <xsd:enumeration value="Cleared by OD"/>
          <xsd:enumeration value="Pending Matthias's review"/>
          <xsd:enumeration value="Back for DPB review"/>
          <xsd:enumeration value="On-hold"/>
          <xsd:enumeration value="Pending EOSG's clearance"/>
          <xsd:enumeration value="Information for OD"/>
        </xsd:restriction>
      </xsd:simpleType>
    </xsd:element>
    <xsd:element name="SubmissionDatebyDPB" ma:index="26" nillable="true" ma:displayName="Submission Date by DPB" ma:format="DateTime" ma:internalName="SubmissionDatebyDPB">
      <xsd:simpleType>
        <xsd:restriction base="dms:DateTime"/>
      </xsd:simpleType>
    </xsd:element>
    <xsd:element name="Remark" ma:index="27" nillable="true" ma:displayName="Remark" ma:format="Dropdown" ma:internalName="Remark">
      <xsd:simpleType>
        <xsd:restriction base="dms:Note">
          <xsd:maxLength value="255"/>
        </xsd:restriction>
      </xsd:simpleType>
    </xsd:element>
    <xsd:element name="Category" ma:index="28" nillable="true" ma:displayName="Category" ma:format="Dropdown" ma:internalName="Category">
      <xsd:simpleType>
        <xsd:restriction base="dms:Choice">
          <xsd:enumeration value="Contract/payment"/>
          <xsd:enumeration value="Project document"/>
          <xsd:enumeration value="Mission report"/>
          <xsd:enumeration value="Memo"/>
          <xsd:enumeration value="Report"/>
          <xsd:enumeration value="Briefing note"/>
          <xsd:enumeration value="Email"/>
          <xsd:enumeration value="Background Note"/>
          <xsd:enumeration value="Assessment"/>
          <xsd:enumeration value="Other"/>
          <xsd:enumeration value="Letters"/>
          <xsd:enumeration value="Background Paper"/>
        </xsd:restriction>
      </xsd:simpleType>
    </xsd:element>
    <xsd:element name="Priority" ma:index="29" nillable="true" ma:displayName="Priority" ma:format="Dropdown" ma:internalName="Priority">
      <xsd:simpleType>
        <xsd:restriction base="dms:Choice">
          <xsd:enumeration value="Urgent"/>
          <xsd:enumeration value="Normal"/>
        </xsd:restriction>
      </xsd:simpleType>
    </xsd:element>
    <xsd:element name="Remarks" ma:index="30" nillable="true" ma:displayName="Remarks" ma:format="Dropdown" ma:internalName="Remarks">
      <xsd:simpleType>
        <xsd:restriction base="dms:Note">
          <xsd:maxLength value="255"/>
        </xsd:restriction>
      </xsd:simpleType>
    </xsd:element>
    <xsd:element name="Areaofwork" ma:index="31" nillable="true" ma:displayName="Area of work" ma:format="Dropdown" ma:internalName="Areaofwork">
      <xsd:simpleType>
        <xsd:restriction base="dms:Choice">
          <xsd:enumeration value="Capacity Development"/>
          <xsd:enumeration value="CDP"/>
        </xsd:restriction>
      </xsd:simpleType>
    </xsd:element>
    <xsd:element name="ActivityOwner" ma:index="32" nillable="true" ma:displayName="Activity Owner" ma:format="Dropdown" ma:internalName="ActivityOwner">
      <xsd:simpleType>
        <xsd:restriction base="dms:Choice">
          <xsd:enumeration value="Annette Becker"/>
          <xsd:enumeration value="Azeema Adam"/>
          <xsd:enumeration value="Jiawei Gong"/>
          <xsd:enumeration value="Marcelo LaFleur"/>
          <xsd:enumeration value="Marcia Tavares"/>
          <xsd:enumeration value="Matthias Bruckner"/>
          <xsd:enumeration value="Mereseini Bower"/>
          <xsd:enumeration value="Namsuk Kim"/>
          <xsd:enumeration value="Roland Mollerus"/>
          <xsd:enumeration value="Saw Htoo"/>
          <xsd:enumeration value="Teresa Lenzi"/>
          <xsd:enumeration value="Thomas Alfstad"/>
        </xsd:restriction>
      </xsd:simpleType>
    </xsd:element>
    <xsd:element name="MediaServiceObjectDetectorVersions" ma:index="3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WBSE" ma:index="35" nillable="true" ma:displayName="Project Identifier" ma:format="Dropdown" ma:internalName="WBSE">
      <xsd:simpleType>
        <xsd:restriction base="dms:Choice">
          <xsd:enumeration value="DA14"/>
        </xsd:restriction>
      </xsd:simpleType>
    </xsd:element>
    <xsd:element name="MediaServiceBillingMetadata" ma:index="3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ec44e-1bab-4c0b-9df0-6ba128686fc9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21b23beb-e481-42ba-95b9-c0a39779260a}" ma:internalName="TaxCatchAll" ma:showField="CatchAllData" ma:web="7d053c58-1f97-4d34-bcfa-28b8fa6aac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Remarks xmlns="b6f940df-ea07-477d-b617-ab56e5df8817" xsi:nil="true"/>
    <Areaofwork xmlns="b6f940df-ea07-477d-b617-ab56e5df8817" xsi:nil="true"/>
    <lcf76f155ced4ddcb4097134ff3c332f xmlns="b6f940df-ea07-477d-b617-ab56e5df8817">
      <Terms xmlns="http://schemas.microsoft.com/office/infopath/2007/PartnerControls"/>
    </lcf76f155ced4ddcb4097134ff3c332f>
    <Theme xmlns="b6f940df-ea07-477d-b617-ab56e5df8817" xsi:nil="true"/>
    <SubmissionDatebyDPB xmlns="b6f940df-ea07-477d-b617-ab56e5df8817" xsi:nil="true"/>
    <TaxCatchAll xmlns="985ec44e-1bab-4c0b-9df0-6ba128686fc9" xsi:nil="true"/>
    <_ip_UnifiedCompliancePolicyProperties xmlns="http://schemas.microsoft.com/sharepoint/v3" xsi:nil="true"/>
    <Priority xmlns="b6f940df-ea07-477d-b617-ab56e5df8817" xsi:nil="true"/>
    <WBSE xmlns="b6f940df-ea07-477d-b617-ab56e5df8817" xsi:nil="true"/>
    <Category xmlns="b6f940df-ea07-477d-b617-ab56e5df8817" xsi:nil="true"/>
    <aavs xmlns="b6f940df-ea07-477d-b617-ab56e5df8817" xsi:nil="true"/>
    <ActivityOwner xmlns="b6f940df-ea07-477d-b617-ab56e5df8817" xsi:nil="true"/>
    <Remark xmlns="b6f940df-ea07-477d-b617-ab56e5df881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F5C250-6C07-4817-9FF4-78086E26C48B}"/>
</file>

<file path=customXml/itemProps3.xml><?xml version="1.0" encoding="utf-8"?>
<ds:datastoreItem xmlns:ds="http://schemas.openxmlformats.org/officeDocument/2006/customXml" ds:itemID="{88E24C06-78CF-49DC-8986-C8B9470DE05F}"/>
</file>

<file path=customXml/itemProps4.xml><?xml version="1.0" encoding="utf-8"?>
<ds:datastoreItem xmlns:ds="http://schemas.openxmlformats.org/officeDocument/2006/customXml" ds:itemID="{7902CAB9-4A39-4B1D-9090-26C706147C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1386</Words>
  <Characters>7902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Alfonso Acosta Gonçalves</cp:lastModifiedBy>
  <cp:revision>2</cp:revision>
  <dcterms:created xsi:type="dcterms:W3CDTF">2013-12-23T23:15:00Z</dcterms:created>
  <dcterms:modified xsi:type="dcterms:W3CDTF">2026-04-22T21:30:00Z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0x010100CA379C39721F744481AC5EFF9B1DC798</vt:lpwstr>
  </property>
</Properties>
</file>