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EC0000"/>
          <w:sz w:val="72"/>
          <w:szCs w:val="72"/>
        </w:rPr>
        <w:t xml:space="preserve">SANTANDER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4B4B"/>
          <w:sz w:val="36"/>
          <w:szCs w:val="36"/>
        </w:rPr>
        <w:t xml:space="preserve">Trade Finance</w:t>
      </w:r>
    </w:p>
    <w:p>
      <w:pPr>
        <w:pBdr>
          <w:bottom w:val="single" w:color="EC0000" w:sz="4" w:space="1"/>
        </w:pBdr>
        <w:spacing w:after="240" w:before="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Arquitectura Técnica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B4B4B"/>
          <w:sz w:val="32"/>
          <w:szCs w:val="32"/>
        </w:rPr>
        <w:t xml:space="preserve">PortalTradeHub + Trade Data Hub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Âmbito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Finance · Santander Portugal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Equipa de Desenvolvimento TDH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PortalTradeHub (PTH) é uma plataforma interna desenvolvida para a equipa de Trade Finance do Santander Portugal. Centraliza cinco áreas operacionais críticas: Formações, Tutoria, Relatórios, Dados Mestres e Suporte (Chamados).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Trade Data Hub (TDH) é o nome da API e camada de dados do sistema — um backend FastAPI que serve tanto o portal web como possíveis integrações futuras. O TDH inclui ainda um Data Warehouse em esquema estrela (star schema) e um pipeline ETL que sincroniza os dados operacionais para análise histórica.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Objectivos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Eliminar o uso de ficheiros Excel dispersos para gestão de formações e erros de tutoria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Proporcionar rastreabilidade completa do ciclo de formação: matrícula → lição → desafio → certificado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Registar, acompanhar e resolver erros operacionais com ciclo de 6 estados e planos de acção 5W2H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Disponibilizar dashboards analíticos em tempo real para gestores e administradores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Centralizar dados mestres (bancos, produtos, equipas, hierarquia) num único ponto de verdade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Utilizadores Alvo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Principais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Gestão total do sistema: utilizadores, dados mestres, relatórios globais, validação de formadores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Gestor / Chefe</w:t>
            </w:r>
          </w:p>
        </w:tc>
        <w:tc>
          <w:tcPr>
            <w:tcW w:type="dxa" w:w="5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Supervisão de equipas, acesso a dashboards de equipa, validação de operações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TRAINER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Formador</w:t>
            </w:r>
          </w:p>
        </w:tc>
        <w:tc>
          <w:tcPr>
            <w:tcW w:type="dxa" w:w="5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Criação de cursos, lições, desafios, planos de formação; revisão de submissões; tutoria de formandos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TRAINEE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Formando</w:t>
            </w:r>
          </w:p>
        </w:tc>
        <w:tc>
          <w:tcPr>
            <w:tcW w:type="dxa" w:w="5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Execução de lições e desafios, submissão de trabalhos, consulta de planos e certificados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Estudante</w:t>
            </w:r>
          </w:p>
        </w:tc>
        <w:tc>
          <w:tcPr>
            <w:tcW w:type="dxa" w:w="5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Perfil semelhante a TRAINEE; acesso livre a cursos disponíveis sem plano obrigatório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2. Visão Geral da Arquitectura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sistema segue uma arquitectura de três camadas clássica, containerizada com Docker Compose: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Vite + Nginx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 com routing client-side; i18n PT/ES/EN; design system Santander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(Python 3.13) + Uvicorn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 com autenticação JWT; lógica de negócio; ETL; schedulers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8.0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dados relacional; tabelas operacionais + DW star schema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Diagrama de Arquitectura (Descrição Textual)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Utilizador → Nginx (porta 80) → React SPA (Vite build) → Axios → FastAPI (porta 8100) → SQLAlchemy ORM → MySQL 8.0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Nginx actua como reverse proxy e servidor de ficheiros estáticos. As chamadas à API com prefixo /api/ são proxiadas para o container do backend. O backend FastAPI serve o HTML da SPA para rotas não-API (catch-all), permitindo deep linking do React Router.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Separação de Ambientes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 dev server :5173 (hot reload)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 + build estático (/usr/share/nginx/html)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Uvicorn com reload=True, Swagger /docs activo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Uvicorn multi-worker, Swagger desactivado (H02)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exposta em 127.0.0.1:3307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 apenas em rede interna Docker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Portas externas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:80 (Nginx), :8100 (API), :3307 (DB)</w:t>
            </w:r>
          </w:p>
        </w:tc>
        <w:tc>
          <w:tcPr>
            <w:tcW w:type="dxa" w:w="3513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:80 (Nginx), :8100 (API)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3. Stack Tecnológico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 / Ferramenta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SPA, hooks, context API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Tipagem estática em todo o frontend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tool e dev server com HMR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Utility-first CSS; dark mode via dark: classes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Client-side routing com layouts aninhados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HTTP com interceptors JWT e refresh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Gestão de estado global (auth, sidebar)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Internacionalização PT/ES/EN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@tremor/react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Componentes de charts (AreaChart, BarChart, DonutChart, BarList)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 de ícones SVG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DOMPurify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Sanitização XSS de conteúdo HTML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 / Framework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3.13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Linguagem principal do backend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0.115.x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REST API com suporte a async/await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Uvicorn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0.34.x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Servidor ASGI de produção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 relacional + sessões de base de dados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Pydantic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Validação e serialização de schemas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PyJWT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Tokens JWT (HS256); migrado de python-jose por CVE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bcrypt / passlib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Hashing de passwords com rounds configurável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slowapi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limiting por IP (default 60/min)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GZipMiddleware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(starlette)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Compressão gzip para respostas &gt; 500 bytes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 de testes; 341 testes no total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PyMySQL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Driver MySQL para SQLAlchemy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Base de Dados e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8.0.39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Collation utf8mb4_unicode_ci; porta interna 3306; exposta em 127.0.0.1:3307 (DEV)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Containerização de todos os serviços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Orquestração local e de produção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alpine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 + servidor estático; lazy DNS resolver para Docker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CI/CD: lint, testes, build, deploy automático via SSH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4. Portais e Módulos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Portal de Formações (/)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 principal do sistema, acessível a todos os roles. Gere o ciclo completo de aprendizagem.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B4B"/>
          <w:sz w:val="24"/>
          <w:szCs w:val="24"/>
        </w:rPr>
        <w:t xml:space="preserve">Entidades Centrais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Course — Curso com título, nível (BEGINNER/INTERMEDIATE/EXPERT), tipo (CURSO/CAPSULA_METODOLOGIA/CAPSULA_FUNCIONALIDADE), bancos e produtos associados (M2M)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Lesson — Lição com conteúdo, tipo (THEORETICAL/PRACTICAL), tempo estimado (MPU), URL de vídeo/materiais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TrainingPlan — Plano de formação individual atribuído a um estudante com datas 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Challenge — Desafio com meta de MPU, volume de operações e critérios de aprovação configuráveis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ChallengeSubmission — Submissão de um desafio por um formando; inclui KPIs calculados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Certificate — Certificado PDF gerado após conclusão de plano ou curso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B4B"/>
          <w:sz w:val="24"/>
          <w:szCs w:val="24"/>
        </w:rPr>
        <w:t xml:space="preserve">Fluxo de Execução de Lição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 Formador libera lição (is_released=True) → 2. Formando inicia (started_at registado) → 3. Formando pode pausar/retomar (LessonPause com timestamps) → 4. Formando termina (completed_at, actual_time_minutes, MPU calculado) → 5. Formando confirma (student_confirmed) → 6. Formador finaliza (finished_by)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B4B"/>
          <w:sz w:val="24"/>
          <w:szCs w:val="24"/>
        </w:rPr>
        <w:t xml:space="preserve">Fluxo de Desafio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Desafio liberado → Formando executa linha a linha (ChallengePart) ou resumo (SUMMARY) → Submissão criada (IN_PROGRESS) → Formando submete (PENDING_REVIEW) → Formador revê → APPROVED ou REJECTED (com opção de retry)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Portal de Tutoria (/tutoria)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Regista, acompanha e resolve erros operacionais. Reflecte o workflow do formulário Access legado.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B4B"/>
          <w:sz w:val="24"/>
          <w:szCs w:val="24"/>
        </w:rPr>
        <w:t xml:space="preserve">Ciclo de 6 Estados de um Erro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REGISTERED</w:t>
            </w:r>
          </w:p>
        </w:tc>
        <w:tc>
          <w:tcPr>
            <w:tcW w:type="dxa" w:w="70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 registado pelo tutor; ainda sem análise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IN_ANALYSIS</w:t>
            </w:r>
          </w:p>
        </w:tc>
        <w:tc>
          <w:tcPr>
            <w:tcW w:type="dxa" w:w="70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 está a analisar causa raiz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PLAN_CREATED</w:t>
            </w:r>
          </w:p>
        </w:tc>
        <w:tc>
          <w:tcPr>
            <w:tcW w:type="dxa" w:w="70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de acção 5W2H criado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70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em execução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RESOLVED</w:t>
            </w:r>
          </w:p>
        </w:tc>
        <w:tc>
          <w:tcPr>
            <w:tcW w:type="dxa" w:w="70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 resolvido com solução documentada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70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Registo cancelado (duplicado ou inválido)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B4B"/>
          <w:sz w:val="24"/>
          <w:szCs w:val="24"/>
        </w:rPr>
        <w:t xml:space="preserve">Funcionalidades Adicionais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Planos de Acção 5W2H (TutoriaActionPlan) com itens rastreáveis e estado por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Fichas de Aprendizagem (LearningSheet) — documentos de boas práticas associados a erros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Sessões Side-by-Side (SideBySide) — acompanhamento presencial tutor/tutorado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Senso — erros internos da equipa com registo de motivo e impacto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Notificações automáticas de prazo vencido (scheduler diário — A.6.1)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Chatbot FAQ com regras configuráveis pelo admin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Portal de Relatórios (/relatorios)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Dashboards analíticos em tempo real. Usa dados operacionais directos (via /api/relatorios/*) e dados do DW (via /api/dw/*).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Overview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KPIs globais: utilizadores, cursos, formadores, planos, certificados, desafios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Formações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Matrículas, taxa de conclusão, taxa de aprovação, horas de estudo, MPU médio, evolução mensal, cursos top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Tutoria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de erros, taxa de resolução, taxa de recorrência, por gravidade, por estado, evolução mensal, por categoria, por tutor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Equipas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de conclusão por equipa, erros por equipa, membros, MPU médio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Membros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utilizador: erros, planos, taxa de conclusão, MPU, certificados; ordenável e pesquisável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Incidentes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Tabela de incidências exportável para Excel; filtros avançados por data, estado, gravidade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Portal de Dados Mestres (/master-data)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CRUD centralizado de todos os dados de referência. Acesso restrito a ADMIN e MANAGER.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Bancos (Bank) — instituições financeiras com código e país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Produtos/Serviços (Product) — serviços de Trade Finance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Equipas (Team) — grupos de trabalho com gestor, departamento e nó hierárquico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Utilizadores (User) — gestão completa com roles e flags especiais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Hierarquia Organizacional (OrgNode/OrgNodeMember) — árvore de departamentos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Mestres de Erros — Impactos, Origens, Categorias, Departamentos, Actividades, Tipos de Erro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Portal de Chamados (/chamados)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Kanban de suporte interno para bugs e pedidos de melhoria. Baseado em colunas Kanban com drag-and-drop.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Chamado — ticket com título, descrição, prioridade (LOW/MEDIUM/HIGH/CRITICAL), tipo (BUG/FEATURE/IMPROVEMENT/MAINTENANCE), responsável, data limite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Estados Kanban: OPEN → IN_PROGRESS → IN_REVIEW → DONE →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Comentários (ChamadoComment) e Anexos (ChamadoAttachment) por ticket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Notas de Andamento (ChamadoNote) com timestamps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5. Base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Estratégia de Migrações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sistema usa um sistema de migrações próprio inspirado no Flyway. Os ficheiros SQL em database/migrations/ são nomeados com prefixo V00N__ e aplicados automaticamente no arranque do backend (run_migrations() no lifespan).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V001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inicial unificado: todas as tabelas operacionais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V002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 schema DW: fact_training, dim_user, dim_course, dim_date, dim_error, fact_error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V003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Cápsulas side-by-side e tabelas de feedback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V004-V008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Hierarquia organizacional (OrgNode, OrgNodeMember), gestores de equipa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V009-V010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Correcções de collation (utf8mb4_unicode_ci) e dados bancários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V011-V012</w:t>
            </w:r>
          </w:p>
        </w:tc>
        <w:tc>
          <w:tcPr>
            <w:tcW w:type="dxa" w:w="6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Departamento em Team, normalização de níveis de impacto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Data Warehouse — Star 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DW é populado por um pipeline ETL que corre no arranque e de hora em hora (scheduler assíncrono). Serve os dashboards do portal de Relatórios.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B4B"/>
          <w:sz w:val="24"/>
          <w:szCs w:val="24"/>
        </w:rPr>
        <w:t xml:space="preserve">Tabelas de Factos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fact_training_summary — por utilizador e curso: matrículas, conclusões, horas, MPU, certificados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fact_error_summary — por erro de tutoria: categoria, gravidade, estado, dias de resolução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B4B"/>
          <w:sz w:val="24"/>
          <w:szCs w:val="24"/>
        </w:rPr>
        <w:t xml:space="preserve">Tabelas de Dimensão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dim_user — utilizador com role, equipa, tutor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dim_course — curso com tipo, banco, produto, criador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dim_date — calendário com ano, mês, trimestre, dia da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dim_team — equipa com gestor, departamento,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dim_error_category — hierarquia de categorias de erro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Configuração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Versão: 8.0.39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Charset: utf8mb4 — suporte a emojis e caracteres especiais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Collation: utf8mb4_unicode_ci — uniformizado em V009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Volume persistente: tradehub_mysql_data (Docker named volume)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Healthcheck: mysqladmin ping a cada 10s; 5 retries; 30s start_period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Memória limitada: 512MB (Docker deploy.resources.limits)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6. Segurança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Autenticação e Autorização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(HS256) com expiração configurável via SECRET_KEY no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Tokens armazenados no sessionStorage do browser (não localStorage — reduz risco XSS)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PyJWT em substituição do python-jose (migração após CVE crítico)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token implementado via interceptor Axios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Passwords hasheadas com bcrypt (passlib) com rounds configurável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por IP: 60 req/min por defeito (slowapi)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Headers de Segurança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default-src 'self'; script-src 'self'; frame-ancestors 'none'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max-age=31536000; includeSubDomains (HTTPS only)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camera=(), microphone=(), geolocation=()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CORS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Origins explícitas definidas via ALLOWED_ORIGINS no .env (sem wildcard em produção — H06)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Regex adicional para localhost e IPs privados 192.168.x.x e 10.x.x.x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Swagger/Redoc/OpenAPI desactivados em produção (DEBUG=False)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Outras Medidas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 port 3306 bind apenas a 127.0.0.1 (não acessível externamente)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secrets no código — todas as variáveis sensíveis em .env (não commitado)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DOMPurify no frontend para sanitização de conteúdo HTML renderizado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Auditoria OWASP Top 10:2025 realizada em Março 2026 — 13 críticos e 22 altos corrigidos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rotation configurado para ficheiros de log do servidor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7. Pipeline ETL e Data Warehouse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ETL Runner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ficheiro backend/app/etl/etl_runner.py contém a função run_full_etl(db) que orquestra todos os transformadores. É invocada: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arranque do backend (lifespan FastAPI)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cada hora pelo scheduler assíncrono _etl_scheduler()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Manualmente via endpoint admin (se configurado)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Fluxo ETL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 Leitura das tabelas operacionais (users, enrollments, lesson_progress, training_plans, tutoria_errors, challenge_submissions)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2. Transformação e agregação para as dimensões (dim_user, dim_course, dim_date, dim_team)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3. Carga nas tabelas de factos (fact_training_summary, fact_error_summary) com UPSERT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4. Logging do resultado (linhas processadas, erros, duração)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O ETL é idempotente — pode ser executado múltiplas vezes sem duplicar dados. Usa INSERT ... ON DUPLICATE KEY UPDATE.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Endpoints DW (/api/dw/*)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Devolvidos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/api/dw/tutoria/by-month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Erros e resolvidos por mês/ano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/api/dw/tutoria/by-category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Erros por categoria de tipologia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/api/dw/tutoria/by-trainer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Erros, resolvidos e dias médios por tutor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/api/dw/training/by-month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Matrículas e conclusões por mês (filtro ?year=)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/api/dw/training/by-course</w:t>
            </w:r>
          </w:p>
        </w:tc>
        <w:tc>
          <w:tcPr>
            <w:tcW w:type="dxa" w:w="54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cursos por matrículas (filtro ?limit=)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8. Infraestrutura Docker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Serviços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 Base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tradehub-db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mysql:8.0.39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persistente; healthcheck; memória 512MB; porta 3307 (DEV only)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tradehub-backend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python:3.13-slim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Multi-stage Dockerfile; hot reload DEV; depends_on db (healthy)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tradehub-frontend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46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 build Vite; lazy DNS resolver para proxy; porta 80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Pipeline de Deploy (Produção)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workflow CI/CD do GitHub Actions executa: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Checkout do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Instalação de dependências Python e 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Execução dos 341 testes pytest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Build do frontend: npm run build (output: frontend/dist/)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SSH para servidor de produção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docker cp dist/. tradehub-frontend:/usr/share/nginx/html/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nginx -s reload (zero-downtime reload)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Restart do backend se necessário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O frontend é servido directamente do Nginx sem rebuild do container — apenas cópia de ficheiros estáticos e reload de configuração.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Variáveis de Ambiente Críticas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Chave de assinatura JWT (mínimo 32 chars, aleatório)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MYSQL_ROOT_PASSWORD / MYSQL_PASSWORD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+ Backend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Credenciais MySQL (diferentes em prod)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SQLAlchemy de conexão à BD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de origens CORS permitidas (vírgula separada)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DEBUG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False em produção (desactiva Swagger, activa HSTS)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base da API (ex: http://localhost:8100/api)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SMTP_*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4226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Configuração de email para reset de password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9. Decisões Arquitecturais (ADRs)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ADR-001: SPA com Backend Separado vs. SSR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Decisão: React SPA servida por Nginx; API REST FastAPI separada.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Motivo: Permite deploy independente frontend/backend; frontend pode ser actualizado sem reiniciar o backend; hot reload em DEV é mais rápido.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ADR-002: MySQL vs. PostgreSQL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Decisão: MySQL 8.0.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Motivo: Familiaridade da equipa de TI do Santander Portugal; compatibilidade com infraestrutura existente.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ADR-003: DW em Schema Separado (Star Schema)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Decisão: Tabelas fact_* e dim_* na mesma base de dados MySQL mas em schema lógico separado (prefixo de nome).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Motivo: Evita joins complexos nos endpoints de relatórios; permite caching e indexação optimizada para leitura; desacopla mudanças no esquema operacional do esquema analítico.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ADR-004: PyJWT em substituição de python-jose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Decisão: Migração de python-jose para PyJWT em Março 2026.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Motivo: CVE crítico encontrado em python-jose; PyJWT mantido activamente com suporte a HS256.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ADR-005: Sem Framer Motion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Decisão: Animações implementadas com CSS puro (keyframes + variáveis CSS).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Motivo: Redução de bundle size; framer-motion é uma dependência pesada (&gt;200KB); CSS animations têm melhor performance em dispositivos lentos.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ADR-006: i18n com react-i18next (3 línguas)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Decisão: Suporte a PT-PT (padrão), ES (espanhol) e EN (inglês).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Motivo: O Santander opera em múltiplos mercados; permite expansão futura sem alterações de código; todas as strings visíveis devem passar pelo sistema de tradução.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ADR-007: Migrações SQL Próprias vs. Alembic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Decisão: Sistema próprio de migrações (padrão Flyway) em vez de Alembic.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Motivo: Maior controlo sobre SQL exacto aplicado; mais simples para o perfil de alterações do projecto (schema additive, raramente destrutivo); fácil de auditar em produção.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10. Testes e Qualidade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Testes Unitários e Integração (pytest)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341 testes pytest cobrem: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Autenticação e autorização por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CRUD de entidades principais (cursos, lições, planos, erros)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Lógica de negócio: cálculo de MPU, ciclo de estados, geração de certificados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Endpoints de relatórios e DW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Validação de schemas Pydantic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Os testes correm contra uma base de dados de teste real (não mocks) para garantir fidelidade — decisão tomada após incidente em que mocks mascararam uma migration quebrada.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CI/CD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pipeline GitHub Actions corre os 341 testes em cada push para main/master. Build falha se qualquer teste falhar. Deploy apenas avança se build e testes passarem.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Cobertura de Código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pytest-cov configurado. Objectivo mínimo: 80% de cobertura nas rotas críticas (auth, tutoria, formações).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Apêndice A — Estrutura de Directorias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PortalTradeDataHub/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├── backend/           — FastAPI app, ETL, migrations runner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├── app/           — package principal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│   ├── models.py  — 30+ modelos SQLAlchemy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│   ├── routers/   — 13 routers FastAPI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│   ├── routes/    — routers legados (auth, admin, student, trainer...)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│   ├── schemas/   — schemas Pydantic de request/response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│   ├── etl/       — pipeline ETL star 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│   └── utils/     — email, helpers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└── tests/         — 341 testes pytest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├── frontend/          — React 18 SPA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├── src/pages/     — 80+ páginas TSX por portal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├── src/components/— componentes reutilizáveis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│   └── reports/   — KpiCard, ChartCard, RateBar, ReportPageHeader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├── src/i18n/      — locales PT/ES/EN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│   └── src/stores/    — Zustand (auth, sidebar)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├── database/          — migrations SQL V001-V012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├── docs/              — documentação técnica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B4B4B"/>
          <w:sz w:val="22"/>
          <w:szCs w:val="22"/>
        </w:rPr>
        <w:t xml:space="preserve">└── docker-compose.yml — orquestração DEV + PROD</w:t>
      </w:r>
    </w:p>
    <w:p>
      <w:pPr>
        <w:spacing w:after="0" w:before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</w:pPr>
    <w:r>
      <w:rPr>
        <w:rFonts w:ascii="Arial" w:cs="Arial" w:eastAsia="Arial" w:hAnsi="Arial"/>
        <w:color w:val="4B4B4B"/>
        <w:sz w:val="16"/>
        <w:szCs w:val="16"/>
      </w:rPr>
      <w:t xml:space="preserve">Confidencial — Trade Finance · Santander    </w:t>
    </w:r>
    <w:r>
      <w:rPr>
        <w:rFonts w:ascii="Arial" w:cs="Arial" w:eastAsia="Arial" w:hAnsi="Arial"/>
        <w:color w:val="4B4B4B"/>
        <w:sz w:val="16"/>
        <w:szCs w:val="16"/>
      </w:rPr>
      <w:t xml:space="preserve">Pág. </w:t>
    </w:r>
    <w:r>
      <w:rPr>
        <w:rFonts w:ascii="Arial" w:cs="Arial" w:eastAsia="Arial" w:hAnsi="Arial"/>
        <w:color w:val="EC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0000" w:sz="4" w:space="1"/>
      </w:pBdr>
    </w:pPr>
    <w:r>
      <w:rPr>
        <w:rFonts w:ascii="Arial" w:cs="Arial" w:eastAsia="Arial" w:hAnsi="Arial"/>
        <w:b/>
        <w:bCs/>
        <w:color w:val="EC0000"/>
        <w:sz w:val="18"/>
        <w:szCs w:val="18"/>
      </w:rPr>
      <w:t xml:space="preserve">PortalTradeHub + Trade Data Hub</w:t>
    </w:r>
    <w:r>
      <w:rPr>
        <w:rFonts w:ascii="Arial" w:cs="Arial" w:eastAsia="Arial" w:hAnsi="Arial"/>
        <w:color w:val="4B4B4B"/>
        <w:sz w:val="18"/>
        <w:szCs w:val="18"/>
      </w:rPr>
      <w:t xml:space="preserve">   |   Arquitectura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E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4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2026-03-30T10:34:20.628Z</dcterms:created>
  <dcterms:modified xsi:type="dcterms:W3CDTF">2026-03-30T10:34:20.628Z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