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7EA08" w14:textId="71B41CCE">
      <w:pPr>
        <w:spacing w:after="200" w:line="276" w:lineRule="auto"/>
        <w:jc w:val="righ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[FECHA]  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 xml:space="preserve"/>
      </w:r>
    </w:p>
    <w:p w14:paraId="3FD9F2E0" w14:textId="1EF869BA">
      <w:pPr>
        <w:spacing w:after="120" w:line="360" w:lineRule="auto"/>
        <w:jc w:val="center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DICTAMEN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/>
      </w:r>
    </w:p>
    <w:p w14:paraId="27474E2C" w14:textId="77777777">
      <w:pPr>
        <w:spacing w:after="120" w:line="276" w:lineRule="auto"/>
        <w:rPr>
          <w:rFonts w:ascii="Times New Roman" w:eastAsia="MS Mincho" w:hAnsi="Times New Roman" w:cs="Times New Roman"/>
          <w:b/>
          <w:sz w:val="24"/>
          <w:szCs w:val="24"/>
        </w:rPr>
      </w:pPr>
      <w:r>
        <w:rPr>
          <w:rFonts w:ascii="Times New Roman" w:eastAsia="MS Mincho" w:hAnsi="Times New Roman" w:cs="Times New Roman"/>
          <w:b/>
          <w:sz w:val="24"/>
          <w:szCs w:val="24"/>
        </w:rPr>
        <w:t>Vista:</w:t>
      </w:r>
    </w:p>
    <w:p w14:paraId="758EBCCE" w14:textId="62A25952">
      <w:pPr>
        <w:spacing w:before="120" w:after="120" w:line="360" w:lineRule="auto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[NOTA] pre</w:t>
      </w:r>
      <w:r>
        <w:rPr>
          <w:rFonts w:ascii="Times New Roman" w:eastAsia="MS Mincho" w:hAnsi="Times New Roman" w:cs="Times New Roman"/>
          <w:sz w:val="24"/>
          <w:szCs w:val="24"/>
        </w:rPr>
        <w:t>sentada por la e</w:t>
      </w:r>
      <w:r>
        <w:rPr>
          <w:rFonts w:ascii="Times New Roman" w:eastAsia="MS Mincho" w:hAnsi="Times New Roman" w:cs="Times New Roman"/>
          <w:sz w:val="24"/>
          <w:szCs w:val="24"/>
        </w:rPr>
        <w:t>mpresa [</w:t>
      </w:r>
      <w:r>
        <w:rPr>
          <w:rFonts w:ascii="Times New Roman" w:eastAsia="MS Mincho" w:hAnsi="Times New Roman" w:cs="Times New Roman"/>
          <w:sz w:val="24"/>
          <w:szCs w:val="24"/>
        </w:rPr>
        <w:t>CO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NTRATISTA], en la cual comunica la discontinuidad de fabricac</w:t>
      </w:r>
      <w:r>
        <w:rPr>
          <w:rFonts w:ascii="Times New Roman" w:eastAsia="MS Mincho" w:hAnsi="Times New Roman" w:cs="Times New Roman"/>
          <w:sz w:val="24"/>
          <w:szCs w:val="24"/>
        </w:rPr>
        <w:t>ión de chapa termoa</w:t>
      </w:r>
      <w:r>
        <w:rPr>
          <w:rFonts w:ascii="Times New Roman" w:eastAsia="MS Mincho" w:hAnsi="Times New Roman" w:cs="Times New Roman"/>
          <w:sz w:val="24"/>
          <w:szCs w:val="24"/>
        </w:rPr>
        <w:t>cústica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con núcleo de poliu</w:t>
      </w:r>
      <w:r>
        <w:rPr>
          <w:rFonts w:ascii="Times New Roman" w:eastAsia="MS Mincho" w:hAnsi="Times New Roman" w:cs="Times New Roman"/>
          <w:sz w:val="24"/>
          <w:szCs w:val="24"/>
        </w:rPr>
        <w:t>retano (PUR) y que en su reemplazo se realiza la fabricación de la chapa termoacústica co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>n núcleo de Poli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isocia</w:t>
      </w:r>
      <w:r>
        <w:rPr>
          <w:rFonts w:ascii="Times New Roman" w:eastAsia="MS Mincho" w:hAnsi="Times New Roman" w:cs="Times New Roman"/>
          <w:sz w:val="24"/>
          <w:szCs w:val="24"/>
        </w:rPr>
        <w:t>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urato (PIR) por parte de </w:t>
      </w:r>
      <w:r>
        <w:rPr>
          <w:rFonts w:ascii="Times New Roman" w:eastAsia="MS Mincho" w:hAnsi="Times New Roman" w:cs="Times New Roman"/>
          <w:sz w:val="24"/>
          <w:szCs w:val="24"/>
        </w:rPr>
        <w:t>un proveedor.</w:t>
      </w:r>
    </w:p>
    <w:p w14:paraId="27B89245" w14:textId="48B62C43">
      <w:pPr>
        <w:spacing w:after="120" w:line="360" w:lineRule="auto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[NOTA] </w:t>
      </w:r>
      <w:r>
        <w:rPr>
          <w:rFonts w:ascii="Times New Roman" w:eastAsia="MS Mincho" w:hAnsi="Times New Roman" w:cs="Times New Roman"/>
          <w:sz w:val="24"/>
          <w:szCs w:val="24"/>
        </w:rPr>
        <w:t>pre</w:t>
      </w:r>
      <w:r>
        <w:rPr>
          <w:rFonts w:ascii="Times New Roman" w:eastAsia="MS Mincho" w:hAnsi="Times New Roman" w:cs="Times New Roman"/>
          <w:sz w:val="24"/>
          <w:szCs w:val="24"/>
        </w:rPr>
        <w:t>sentada por la empresa [CONTRATISTA], en la cual hace una prosecución a la nota anterior, agregando tres comunicados de empre</w:t>
      </w:r>
      <w:r>
        <w:rPr>
          <w:rFonts w:ascii="Times New Roman" w:eastAsia="MS Mincho" w:hAnsi="Times New Roman" w:cs="Times New Roman"/>
          <w:sz w:val="24"/>
          <w:szCs w:val="24"/>
        </w:rPr>
        <w:t>sas proveedo</w:t>
      </w:r>
      <w:r>
        <w:rPr>
          <w:rFonts w:ascii="Times New Roman" w:eastAsia="MS Mincho" w:hAnsi="Times New Roman" w:cs="Times New Roman"/>
          <w:sz w:val="24"/>
          <w:szCs w:val="24"/>
        </w:rPr>
        <w:t>ras que coinciden en lo señalado, sobr</w:t>
      </w:r>
      <w:r>
        <w:rPr>
          <w:rFonts w:ascii="Times New Roman" w:eastAsia="MS Mincho" w:hAnsi="Times New Roman" w:cs="Times New Roman"/>
          <w:sz w:val="24"/>
          <w:szCs w:val="24"/>
        </w:rPr>
        <w:t>e la discontinuidad de la fabricación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de chapa termoacústica con núcleo PUR y en su reemplazo con núcleo PIR.</w:t>
      </w:r>
    </w:p>
    <w:p w14:paraId="7FEE2E55" w14:textId="77777777">
      <w:pPr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Considerando:</w:t>
      </w:r>
    </w:p>
    <w:p w14:paraId="3BA0DDE6" w14:textId="090864FA">
      <w:pPr>
        <w:spacing w:after="120" w:line="276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Lo establecido en </w:t>
      </w:r>
      <w:r>
        <w:rPr>
          <w:rFonts w:ascii="Times New Roman" w:hAnsi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cs="Times New Roman"/>
          <w:sz w:val="24"/>
          <w:szCs w:val="24"/>
        </w:rPr>
        <w:t xml:space="preserve">Artículo </w:t>
      </w:r>
      <w:r>
        <w:rPr>
          <w:rFonts w:ascii="Times New Roman" w:hAnsi="Times New Roman" w:cs="Times New Roman"/>
          <w:sz w:val="24"/>
          <w:szCs w:val="24"/>
        </w:rPr>
        <w:t xml:space="preserve">180 </w:t>
      </w:r>
      <w:r>
        <w:rPr>
          <w:rFonts w:ascii="Times New Roman" w:hAnsi="Times New Roman" w:cs="Times New Roman"/>
          <w:sz w:val="24"/>
          <w:szCs w:val="24"/>
        </w:rPr>
        <w:t xml:space="preserve">“Otras modificaciones” </w:t>
      </w:r>
      <w:r>
        <w:rPr>
          <w:rFonts w:ascii="Times New Roman" w:hAnsi="Times New Roman" w:cs="Times New Roman"/>
          <w:sz w:val="24"/>
          <w:szCs w:val="24"/>
        </w:rPr>
        <w:t xml:space="preserve">de la Resolución DNCP 230/2025 </w:t>
      </w:r>
      <w:r>
        <w:rPr>
          <w:rFonts w:ascii="Times New Roman" w:hAnsi="Times New Roman" w:cs="Times New Roman"/>
          <w:sz w:val="24"/>
          <w:szCs w:val="24"/>
        </w:rPr>
        <w:t>POR LA CUAL SE REGLAMENTAN LOS PROCEDIMIENTOS DE CONTRATACIÓN REGIDOS POR LA LEY N° 7021/22 “DE SUMINISTRO Y CONTRATACIONES PÚBLICAS”</w:t>
      </w:r>
    </w:p>
    <w:p w14:paraId="6908369B" w14:textId="77777777">
      <w:pPr>
        <w:spacing w:before="100" w:beforeAutospacing="1" w:after="120" w:line="360" w:lineRule="auto"/>
        <w:jc w:val="left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Antecedente </w:t>
      </w:r>
    </w:p>
    <w:p w14:paraId="7B23CD7E" w14:textId="01A8E15A">
      <w:pPr>
        <w:spacing w:before="100" w:beforeAutospacing="1" w:after="120" w:line="360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En el marco del contrato [N.º</w:t>
      </w:r>
      <w:r>
        <w:rPr>
          <w:rFonts w:ascii="Times New Roman" w:eastAsia="MS Mincho" w:hAnsi="Times New Roman" w:cs="Times New Roman"/>
          <w:sz w:val="24"/>
          <w:szCs w:val="24"/>
        </w:rPr>
        <w:t>],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referente a la [OBJET</w:t>
      </w:r>
      <w:r>
        <w:rPr>
          <w:rFonts w:ascii="Times New Roman" w:eastAsia="MS Mincho" w:hAnsi="Times New Roman" w:cs="Times New Roman"/>
          <w:sz w:val="24"/>
          <w:szCs w:val="24"/>
        </w:rPr>
        <w:t>O]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672F4360" w14:textId="1E0D908D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La empresa contratista presenta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por [NOTA] lo info</w:t>
      </w:r>
      <w:r>
        <w:rPr>
          <w:rFonts w:ascii="Times New Roman" w:eastAsia="MS Mincho" w:hAnsi="Times New Roman" w:cs="Times New Roman"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>mad</w:t>
      </w:r>
      <w:r>
        <w:rPr>
          <w:rFonts w:ascii="Times New Roman" w:eastAsia="MS Mincho" w:hAnsi="Times New Roman" w:cs="Times New Roman"/>
          <w:sz w:val="24"/>
          <w:szCs w:val="24"/>
        </w:rPr>
        <w:t xml:space="preserve">o formalmente por [PROVEEDOR] quien expresa que </w:t>
      </w:r>
      <w:proofErr w:type="spellStart"/>
      <w:r>
        <w:rPr>
          <w:rFonts w:ascii="Times New Roman" w:eastAsia="MS Mincho" w:hAnsi="Times New Roman" w:cs="Times New Roman"/>
          <w:sz w:val="24"/>
          <w:szCs w:val="24"/>
        </w:rPr>
        <w:t xml:space="preserve">“En atención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a lo</w:t>
      </w:r>
      <w:r>
        <w:rPr>
          <w:rFonts w:ascii="Times New Roman" w:eastAsia="MS Mincho" w:hAnsi="Times New Roman" w:cs="Times New Roman"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está</w:t>
      </w:r>
      <w:r>
        <w:rPr>
          <w:rFonts w:ascii="Times New Roman" w:eastAsia="MS Mincho" w:hAnsi="Times New Roman" w:cs="Times New Roman"/>
          <w:sz w:val="24"/>
          <w:szCs w:val="24"/>
        </w:rPr>
        <w:t xml:space="preserve">ndares de cal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i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dad y, princ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ipalmente, de seguridad aplicables a nuestros productos, informamos que la fabricación de la chapa termoacústica con núcleo Poliuretano (PUR) ha sido descontinuada, adoptándose en su reemplazo la fabricación con núcleo de Poliisocianurato (PIR), como resulta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do de la evoluci</w:t>
      </w:r>
      <w:proofErr w:type="spell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ón tecnológica de los materiales utilizados para este tipo de solución constructiva.</w:t>
      </w:r>
    </w:p>
    <w:p w14:paraId="0C05FD94" w14:textId="4895C2D6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Esta actualización responde principalmente a la necesidad de ofrecer un producto con mejor comportamiento frente al fuego y mayores condiciones de seguridad, considerando las características de combustibilidad asociadas al núcleo de PUR.”</w:t>
      </w:r>
    </w:p>
    <w:p w14:paraId="756630DC" w14:textId="4F714CA2">
      <w:pPr>
        <w:spacing w:after="120" w:line="360" w:lineRule="auto"/>
        <w:rPr>
          <w:rFonts w:ascii="Times New Roman" w:eastAsia="MS Mincho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Además, la empresa contratista expresa en su nota que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“En este sentido, se comunica en forma oficial que hemos consultado con varios fabricantes que han emitido la misma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lastRenderedPageBreak/>
        <w:t>respuesta, la discontinuidad de la fabricación por motivos de seguridad (es más inflamable que el PIR), por lo que dejamos la debida constancia de que la NO DISPONIBILIDAD DEL PRODUCTO especificado responde a una decisión técnica y comercial de los fabricantes, y no a una situación atribuible a esta contratista.”</w:t>
      </w:r>
    </w:p>
    <w:p w14:paraId="0EB4EA53" w14:textId="0957B23C">
      <w:pPr>
        <w:spacing w:after="120" w:line="360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Posteriormente, presenta la [NOTA]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por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la cual realiza la prosecución de la [NO</w:t>
      </w:r>
      <w:r>
        <w:rPr>
          <w:rFonts w:ascii="Times New Roman" w:eastAsia="MS Mincho" w:hAnsi="Times New Roman" w:cs="Times New Roman"/>
          <w:sz w:val="24"/>
          <w:szCs w:val="24"/>
        </w:rPr>
        <w:t>TA] adicionando tres n</w:t>
      </w:r>
      <w:r>
        <w:rPr>
          <w:rFonts w:ascii="Times New Roman" w:eastAsia="MS Mincho" w:hAnsi="Times New Roman" w:cs="Times New Roman"/>
          <w:sz w:val="24"/>
          <w:szCs w:val="24"/>
        </w:rPr>
        <w:t>otas de proveedor</w:t>
      </w:r>
      <w:r>
        <w:rPr>
          <w:rFonts w:ascii="Times New Roman" w:eastAsia="MS Mincho" w:hAnsi="Times New Roman" w:cs="Times New Roman"/>
          <w:sz w:val="24"/>
          <w:szCs w:val="24"/>
        </w:rPr>
        <w:t>es es</w:t>
      </w:r>
      <w:r>
        <w:rPr>
          <w:rFonts w:ascii="Times New Roman" w:eastAsia="MS Mincho" w:hAnsi="Times New Roman" w:cs="Times New Roman"/>
          <w:sz w:val="24"/>
          <w:szCs w:val="24"/>
        </w:rPr>
        <w:t>p</w:t>
      </w:r>
      <w:r>
        <w:rPr>
          <w:rFonts w:ascii="Times New Roman" w:eastAsia="MS Mincho" w:hAnsi="Times New Roman" w:cs="Times New Roman"/>
          <w:sz w:val="24"/>
          <w:szCs w:val="24"/>
        </w:rPr>
        <w:t>ecializados del mercado, expresando que “</w:t>
      </w:r>
      <w:r>
        <w:rPr>
          <w:rFonts w:ascii="Times New Roman" w:eastAsia="MS Mincho" w:hAnsi="Times New Roman" w:cs="Times New Roman"/>
          <w:sz w:val="24"/>
          <w:szCs w:val="24"/>
        </w:rPr>
        <w:t>Al respecto, [PRO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VEEDOR], [PROVEEDOR] y [PROVEEDOR] han coincidido en informar sobre la situación actual respecto de la fabricación y disponibilidad de paneles con núcleo PUR, señalándose como alternativa actualmente disponible la utilización de paneles con núcleo de Poliisocianurato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(PIR).</w:t>
      </w:r>
      <w:proofErr w:type="spell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/>
      </w:r>
    </w:p>
    <w:p w14:paraId="29E143CB" w14:textId="3DB14E13">
      <w:pPr>
        <w:spacing w:after="120" w:line="360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En consecuencia, la propuesta de utilización del núcleo PIR en sustitución del PUR no responde a una decisión unilateral de [C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ONTRATISTA], sino a una situación constatada mediante consultas efectuadas a tres proveedores más el rubro, circunstancia que afecta la posibilidad de adquirir el producto originalmente especificado y hace necesaria la definición de una alternativa técnicamente viable para la prosecución de los trabajos.”</w:t>
      </w:r>
    </w:p>
    <w:p w14:paraId="5CDDBE40" w14:textId="24593E3A">
      <w:pPr>
        <w:spacing w:after="120" w:line="360" w:lineRule="auto"/>
        <w:jc w:val="left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Análisis Técnico</w:t>
      </w:r>
    </w:p>
    <w:p w14:paraId="0A4B9A56" w14:textId="35A1995B">
      <w:pPr>
        <w:spacing w:after="120" w:line="36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De acuerdo con lo manifestado por la Fiscal de Obras, en su carácter de profesional técnico del área, se detallan a continuación las consideraciones emitidas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por informe técnico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respecto a la solicitud presentada.</w:t>
      </w:r>
    </w:p>
    <w:p w14:paraId="05103D00" w14:textId="4007571B">
      <w:pPr>
        <w:spacing w:before="100" w:beforeAutospacing="1" w:after="120" w:line="360" w:lineRule="auto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“[…] esta Fiscalización ha realizado las correspondientes verificaciones y relevamientos con proveedores del rubro, corroborando fehacientemente la falta de disponibilidad del material original de PUR en las condiciones requeridas por el proyecto.</w:t>
      </w:r>
    </w:p>
    <w:p w14:paraId="0987D189" w14:textId="60C0611D">
      <w:pPr>
        <w:spacing w:after="120"/>
        <w:jc w:val="lef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Y"/>
        </w:rPr>
        <w:t>ANALISIS COMPARATIVO DEL MATERIAL:</w:t>
      </w:r>
    </w:p>
    <w:p w14:paraId="2F32E97A" w14:textId="6E58D3C0">
      <w:pPr>
        <w:spacing w:after="120"/>
        <w:jc w:val="lef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Y"/>
        </w:rPr>
        <w:t>VERIFICACIÓN TÉCNICA</w:t>
      </w:r>
    </w:p>
    <w:p w14:paraId="1F94F352" w14:textId="74A56E5D">
      <w:pPr>
        <w:spacing w:before="100" w:beforeAutospacing="1" w:after="120" w:line="360" w:lineRule="auto"/>
        <w:jc w:val="left"/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Se ha procedido a la evaluación técnica y económica comparativa del material propuesto Chapa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Termoacústica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Poliisocianurato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) PIR con el material detallado en planilla contractual Chapas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Termoacústicas de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(Poliuretano)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PUR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, presentando un cuadro comparativo que se resume las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>condiciones comparadas: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5"/>
        <w:gridCol w:w="2223"/>
        <w:gridCol w:w="2377"/>
        <w:gridCol w:w="2203"/>
      </w:tblGrid>
      <w:tr w14:paraId="2DD892A8" w14:textId="77777777">
        <w:tc>
          <w:tcPr>
            <w:tcW w:w="2025" w:type="dxa"/>
          </w:tcPr>
          <w:p w14:paraId="75A5F9B8" w14:textId="33E95DA5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Parámetro Técnico/Económico</w:t>
            </w:r>
          </w:p>
        </w:tc>
        <w:tc>
          <w:tcPr>
            <w:tcW w:w="2223" w:type="dxa"/>
          </w:tcPr>
          <w:p w14:paraId="7B69FBD4" w14:textId="48E477E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Material Contractual: PUR (Poliuretano)</w:t>
            </w:r>
          </w:p>
        </w:tc>
        <w:tc>
          <w:tcPr>
            <w:tcW w:w="2377" w:type="dxa"/>
          </w:tcPr>
          <w:p w14:paraId="2BEEFB1D" w14:textId="2A4CBFC0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Material Propuesto: PIR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Poliisocianurato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)</w:t>
            </w:r>
          </w:p>
        </w:tc>
        <w:tc>
          <w:tcPr>
            <w:tcW w:w="2203" w:type="dxa"/>
          </w:tcPr>
          <w:p w14:paraId="0A244E32" w14:textId="71D55DE7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es-PY"/>
              </w:rPr>
              <w:t>Evaluación de Impacto en Obra</w:t>
            </w:r>
          </w:p>
        </w:tc>
      </w:tr>
      <w:tr w14:paraId="3AA142F3" w14:textId="77777777">
        <w:tc>
          <w:tcPr>
            <w:tcW w:w="2025" w:type="dxa"/>
          </w:tcPr>
          <w:p w14:paraId="687EFD3D" w14:textId="1EA534ED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Aislamiento Térmico</w:t>
            </w:r>
          </w:p>
        </w:tc>
        <w:tc>
          <w:tcPr>
            <w:tcW w:w="2223" w:type="dxa"/>
          </w:tcPr>
          <w:p w14:paraId="6AC5EE91" w14:textId="61E6911A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Buena (Conductividad térmica = 0.022 W/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mK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).</w:t>
            </w:r>
          </w:p>
        </w:tc>
        <w:tc>
          <w:tcPr>
            <w:tcW w:w="2377" w:type="dxa"/>
          </w:tcPr>
          <w:p w14:paraId="465E0F9C" w14:textId="3FE47A38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Equivalente o ligeramente superior.</w:t>
            </w:r>
          </w:p>
        </w:tc>
        <w:tc>
          <w:tcPr>
            <w:tcW w:w="2203" w:type="dxa"/>
          </w:tcPr>
          <w:p w14:paraId="2189B2E8" w14:textId="26A8E09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Mantiene o mejora la eficiencia energética del edificio.</w:t>
            </w:r>
          </w:p>
        </w:tc>
      </w:tr>
      <w:tr w14:paraId="7624754E" w14:textId="77777777">
        <w:tc>
          <w:tcPr>
            <w:tcW w:w="2025" w:type="dxa"/>
          </w:tcPr>
          <w:p w14:paraId="579247DB" w14:textId="617C027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Comportamiento al fuego</w:t>
            </w:r>
          </w:p>
        </w:tc>
        <w:tc>
          <w:tcPr>
            <w:tcW w:w="2223" w:type="dxa"/>
          </w:tcPr>
          <w:p w14:paraId="21DB85C3" w14:textId="43931017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 xml:space="preserve">Combustible. Tiende a generar humo y </w:t>
            </w: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>mantener la llama de forma directa.</w:t>
            </w:r>
          </w:p>
        </w:tc>
        <w:tc>
          <w:tcPr>
            <w:tcW w:w="2377" w:type="dxa"/>
          </w:tcPr>
          <w:p w14:paraId="7DA73E36" w14:textId="5E6242AB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 xml:space="preserve">Ignífugo / Retardante de llama. Carboniza sin </w:t>
            </w: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>propagar el fuego. Alta estabilidad estructural ante incendios.</w:t>
            </w:r>
          </w:p>
        </w:tc>
        <w:tc>
          <w:tcPr>
            <w:tcW w:w="2203" w:type="dxa"/>
          </w:tcPr>
          <w:p w14:paraId="140A9C8C" w14:textId="447E059C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 xml:space="preserve">Mejora sustancial. Reduce el riesgo de </w:t>
            </w: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>siniestros, adecuándose a normas de seguridad vigentes.</w:t>
            </w:r>
          </w:p>
        </w:tc>
      </w:tr>
      <w:tr w14:paraId="707BDF3C" w14:textId="77777777">
        <w:tc>
          <w:tcPr>
            <w:tcW w:w="2025" w:type="dxa"/>
          </w:tcPr>
          <w:p w14:paraId="6FB5385B" w14:textId="5735DF42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lastRenderedPageBreak/>
              <w:t>Resistencia Mecánica</w:t>
            </w:r>
          </w:p>
        </w:tc>
        <w:tc>
          <w:tcPr>
            <w:tcW w:w="2223" w:type="dxa"/>
          </w:tcPr>
          <w:p w14:paraId="163FE130" w14:textId="7A61D9DA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Óptima densidad y rigidez estructural.</w:t>
            </w:r>
          </w:p>
        </w:tc>
        <w:tc>
          <w:tcPr>
            <w:tcW w:w="2377" w:type="dxa"/>
          </w:tcPr>
          <w:p w14:paraId="2BAEB818" w14:textId="3940D871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Similar densidad, alta estabilidad dimensional.</w:t>
            </w:r>
          </w:p>
        </w:tc>
        <w:tc>
          <w:tcPr>
            <w:tcW w:w="2203" w:type="dxa"/>
          </w:tcPr>
          <w:p w14:paraId="68D93966" w14:textId="3AA8CF91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Adecuado para las cargas de viento y mantenimiento previstas.</w:t>
            </w:r>
          </w:p>
        </w:tc>
      </w:tr>
      <w:tr w14:paraId="0C5A9CD8" w14:textId="77777777">
        <w:tc>
          <w:tcPr>
            <w:tcW w:w="2025" w:type="dxa"/>
          </w:tcPr>
          <w:p w14:paraId="5B2FF130" w14:textId="0D4421F7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Impacto Económico</w:t>
            </w:r>
          </w:p>
        </w:tc>
        <w:tc>
          <w:tcPr>
            <w:tcW w:w="2223" w:type="dxa"/>
          </w:tcPr>
          <w:p w14:paraId="5944A9F5" w14:textId="26EE863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Costo base según planilla de contrato.</w:t>
            </w:r>
          </w:p>
        </w:tc>
        <w:tc>
          <w:tcPr>
            <w:tcW w:w="2377" w:type="dxa"/>
          </w:tcPr>
          <w:p w14:paraId="3A390EF2" w14:textId="20608C29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Mayor costo de fabricación en el mercado actual.</w:t>
            </w:r>
          </w:p>
        </w:tc>
        <w:tc>
          <w:tcPr>
            <w:tcW w:w="2203" w:type="dxa"/>
          </w:tcPr>
          <w:p w14:paraId="39FF25D1" w14:textId="4230EEA7">
            <w:pPr>
              <w:spacing w:before="100" w:beforeAutospacing="1" w:after="100" w:afterAutospacing="1"/>
              <w:jc w:val="left"/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es-PY"/>
              </w:rPr>
              <w:t>La contratista no describe impacto económico para la contratante.</w:t>
            </w:r>
          </w:p>
        </w:tc>
      </w:tr>
    </w:tbl>
    <w:p w14:paraId="649AFD08" w14:textId="54AA3673">
      <w:pPr>
        <w:spacing w:before="100" w:beforeAutospacing="1" w:after="100" w:afterAutospacing="1" w:line="360" w:lineRule="auto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Posteriormente </w:t>
      </w:r>
      <w:r>
        <w:rPr>
          <w:rFonts w:ascii="Times New Roman" w:eastAsia="MS Mincho" w:hAnsi="Times New Roman" w:cs="Times New Roman"/>
          <w:sz w:val="24"/>
          <w:szCs w:val="24"/>
        </w:rPr>
        <w:t>indica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los puntos determinantes y finalmente expone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“[…] esta Fiscalización RECOMIENDA a la contratante [INSTITUCIÓN] autorizar la modificación técnica para la utilización de la Chapa Termoacústica PIR de 50mm en reemplazo del material original del Ítem [OMITIDO], debiendo instrumentarse el acto administrativo institucional.”.</w:t>
      </w:r>
    </w:p>
    <w:p w14:paraId="632A1EEB" w14:textId="0BA5A3C0">
      <w:pPr>
        <w:spacing w:before="100" w:beforeAutospacing="1" w:after="100" w:afterAutospacing="1" w:line="360" w:lineRule="auto"/>
        <w:jc w:val="left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b/>
          <w:bCs/>
          <w:sz w:val="24"/>
          <w:szCs w:val="24"/>
        </w:rPr>
        <w:t>Por lo expuesto</w:t>
      </w:r>
    </w:p>
    <w:p w14:paraId="757E51BE" w14:textId="0FCCE9B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Teniendo en cuenta los criterios técnicos emitidos por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la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Fiscal de Obras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en donde recomienda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 xml:space="preserve">aceptar la propuesta de la empresa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[CONTRA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es-MX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ISTA], por encontrarse técnicamente justi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icada; en mi carácter de Administradora del Contrato elevo el presente dictamen al [AUTORIDAD COMPETENTE] para los fines que estime pertinentes, respecto a la eventual gestión del procedimiento para la formalización del convenio modificatorio respecto al Ítem [OMITIDO] “Const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rucción/Colocación de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 techo/tinglado – Techo de chapa trapezoidal termoacústico con relleno de poliuretano de 50mm, s/estructura metálica con perfiles metálicos s/ diseño y EETT”. Se deja constancia de q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PY"/>
        </w:rPr>
        <w:t xml:space="preserve">u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e la presente remisión se realiza con base al informe técnico menciona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o precedentemente, sin que implique pronunciamiento técnico propio sobre la procedencia de lo solicitado.</w:t>
      </w:r>
    </w:p>
    <w:p w14:paraId="432E25F5" w14:textId="7777777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</w:p>
    <w:p w14:paraId="059E90FE" w14:textId="4E227F24">
      <w:pPr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 _________________________</w:t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2F2D14F3" w14:textId="6CCE6ECD">
      <w:pPr>
        <w:jc w:val="left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 [PERSONA]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/>
      </w:r>
    </w:p>
    <w:p w14:paraId="5894CBF8" w14:textId="6C437F7C">
      <w:pPr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 Administradora de Contrato </w:t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sectPr>
      <w:headerReference w:type="default" r:id="rId7"/>
      <w:footerReference w:type="default" r:id="rId8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56F18" w14:textId="4850232D">
    <w:pPr>
      <w:pStyle w:val="Textoindependiente"/>
      <w:jc w:val="both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343A9416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4C694D8">
    <w:pPr>
      <w:pStyle w:val="Encabezado"/>
      <w:tabs>
        <w:tab w:val="clear" w:pos="8504"/>
        <w:tab w:val="left" w:pos="4252"/>
      </w:tabs>
    </w:pPr>
    <w:r>
      <w:rPr>
        <w:noProof/>
        <w:lang w:eastAsia="es-PY"/>
      </w:rPr>
      <mc:AlternateContent>
        <mc:Choice Requires="wpg"/>
        <mc:Fallback/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A3235"/>
    <w:multiLevelType w:val="hybridMultilevel"/>
    <w:tmpl w:val="902EB090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646FC"/>
    <w:multiLevelType w:val="multilevel"/>
    <w:tmpl w:val="DD7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7E0E3A"/>
    <w:multiLevelType w:val="hybridMultilevel"/>
    <w:tmpl w:val="F4FC224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75819"/>
    <w:multiLevelType w:val="multilevel"/>
    <w:tmpl w:val="1346D0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5E34"/>
    <w:rsid w:val="000A6347"/>
    <w:rsid w:val="000D02E1"/>
    <w:rsid w:val="0010736B"/>
    <w:rsid w:val="00147BE5"/>
    <w:rsid w:val="00184E19"/>
    <w:rsid w:val="001D4BD9"/>
    <w:rsid w:val="001F6D96"/>
    <w:rsid w:val="00283567"/>
    <w:rsid w:val="002A6E1A"/>
    <w:rsid w:val="002F4137"/>
    <w:rsid w:val="00316948"/>
    <w:rsid w:val="003525BD"/>
    <w:rsid w:val="00370E42"/>
    <w:rsid w:val="003A6CA5"/>
    <w:rsid w:val="003D7569"/>
    <w:rsid w:val="00407214"/>
    <w:rsid w:val="00413B9D"/>
    <w:rsid w:val="0041749B"/>
    <w:rsid w:val="00430D60"/>
    <w:rsid w:val="004E1587"/>
    <w:rsid w:val="00504B6F"/>
    <w:rsid w:val="00540003"/>
    <w:rsid w:val="005675D4"/>
    <w:rsid w:val="00587216"/>
    <w:rsid w:val="005D7F7D"/>
    <w:rsid w:val="00640C68"/>
    <w:rsid w:val="00684225"/>
    <w:rsid w:val="006912C7"/>
    <w:rsid w:val="0075048A"/>
    <w:rsid w:val="00776ABF"/>
    <w:rsid w:val="00904C1D"/>
    <w:rsid w:val="00914566"/>
    <w:rsid w:val="0092116B"/>
    <w:rsid w:val="00921F84"/>
    <w:rsid w:val="00946508"/>
    <w:rsid w:val="00982F66"/>
    <w:rsid w:val="009B7771"/>
    <w:rsid w:val="009E36D3"/>
    <w:rsid w:val="00A17F3B"/>
    <w:rsid w:val="00A24DB1"/>
    <w:rsid w:val="00A42E81"/>
    <w:rsid w:val="00A500AF"/>
    <w:rsid w:val="00A553C6"/>
    <w:rsid w:val="00B75D28"/>
    <w:rsid w:val="00BD0A9F"/>
    <w:rsid w:val="00BD2CCB"/>
    <w:rsid w:val="00C063D0"/>
    <w:rsid w:val="00CA4889"/>
    <w:rsid w:val="00D67336"/>
    <w:rsid w:val="00DC1549"/>
    <w:rsid w:val="00E06487"/>
    <w:rsid w:val="00E65479"/>
    <w:rsid w:val="00EB63DF"/>
    <w:rsid w:val="00EE1F3B"/>
    <w:rsid w:val="00F8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6D96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1F6D9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1047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2026-09-17T17:19:00Z</cp:lastPrinted>
  <dcterms:created xsi:type="dcterms:W3CDTF">2026-09-10T13:26:00Z</dcterms:created>
  <dcterms:modified xsi:type="dcterms:W3CDTF">2026-09-17T19:35:00Z</dcterms:modified>
</cp:coreProperties>
</file>