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00CE1" w14:textId="77777777">
      <w:pPr>
        <w:rPr>
          <w:rFonts w:ascii="Times New Roman" w:hAnsi="Times New Roman" w:cs="Times New Roman"/>
          <w:sz w:val="24"/>
          <w:szCs w:val="24"/>
          <w:lang w:val="es-PY"/>
        </w:rPr>
      </w:pPr>
    </w:p>
    <w:p w14:paraId="2F3AE8DC" w14:textId="03EA1CBF">
      <w:pPr>
        <w:ind w:left="4248" w:firstLine="708"/>
        <w:jc w:val="right"/>
        <w:rPr>
          <w:rFonts w:ascii="Times New Roman" w:hAnsi="Times New Roman" w:cs="Times New Roman"/>
          <w:sz w:val="24"/>
          <w:szCs w:val="24"/>
          <w:lang w:val="es-PY"/>
        </w:rPr>
      </w:pPr>
      <w:r>
        <w:rPr>
          <w:rFonts w:ascii="Times New Roman" w:hAnsi="Times New Roman" w:cs="Times New Roman"/>
          <w:sz w:val="24"/>
          <w:szCs w:val="24"/>
          <w:lang w:val="es-PY"/>
        </w:rPr>
        <w:t xml:space="preserve">[LOCALIDAD ANONIMIZADA], </w:t>
      </w:r>
      <w:r>
        <w:rPr>
          <w:rFonts w:ascii="Times New Roman" w:hAnsi="Times New Roman" w:cs="Times New Roman"/>
          <w:sz w:val="24"/>
          <w:szCs w:val="24"/>
          <w:lang w:val="es-PY"/>
        </w:rPr>
        <w:t>[FECHA OMITIDA]</w:t>
      </w:r>
      <w:r>
        <w:rPr>
          <w:rFonts w:ascii="Times New Roman" w:hAnsi="Times New Roman" w:cs="Times New Roman"/>
          <w:sz w:val="24"/>
          <w:szCs w:val="24"/>
          <w:lang w:val="es-PY"/>
        </w:rPr>
        <w:t xml:space="preserve"/>
      </w:r>
      <w:r>
        <w:rPr>
          <w:rFonts w:ascii="Times New Roman" w:hAnsi="Times New Roman" w:cs="Times New Roman"/>
          <w:sz w:val="24"/>
          <w:szCs w:val="24"/>
          <w:lang w:val="es-PY"/>
        </w:rPr>
        <w:t/>
      </w:r>
      <w:r>
        <w:rPr>
          <w:rFonts w:ascii="Times New Roman" w:hAnsi="Times New Roman" w:cs="Times New Roman"/>
          <w:sz w:val="24"/>
          <w:szCs w:val="24"/>
          <w:lang w:val="es-PY"/>
        </w:rPr>
        <w:t xml:space="preserve"/>
      </w:r>
    </w:p>
    <w:p w14:paraId="02040097" w14:textId="77777777">
      <w:pPr>
        <w:ind w:left="4248" w:firstLine="708"/>
        <w:jc w:val="center"/>
        <w:rPr>
          <w:rFonts w:ascii="Times New Roman" w:hAnsi="Times New Roman" w:cs="Times New Roman"/>
          <w:sz w:val="24"/>
          <w:szCs w:val="24"/>
          <w:lang w:val="es-PY"/>
        </w:rPr>
      </w:pPr>
      <w:r>
        <w:rPr>
          <w:rFonts w:ascii="Times New Roman" w:hAnsi="Times New Roman" w:cs="Times New Roman"/>
          <w:sz w:val="24"/>
          <w:szCs w:val="24"/>
          <w:lang w:val="es-PY"/>
        </w:rPr>
        <w:t xml:space="preserve">                                                                             </w:t>
      </w:r>
    </w:p>
    <w:p w14:paraId="6E974AF6" w14:textId="37DBDE6E">
      <w:pPr>
        <w:spacing w:line="360" w:lineRule="auto"/>
        <w:jc w:val="center"/>
        <w:rPr>
          <w:rFonts w:ascii="Times New Roman" w:hAnsi="Times New Roman" w:cs="Times New Roman"/>
          <w:b/>
          <w:bCs/>
          <w:sz w:val="24"/>
          <w:szCs w:val="24"/>
          <w:lang w:val="es-PY"/>
        </w:rPr>
      </w:pPr>
      <w:r>
        <w:rPr>
          <w:rFonts w:ascii="Times New Roman" w:hAnsi="Times New Roman" w:cs="Times New Roman"/>
          <w:b/>
          <w:bCs/>
          <w:sz w:val="24"/>
          <w:szCs w:val="24"/>
          <w:lang w:val="es-PY"/>
        </w:rPr>
        <w:t>DICTAMEN [IDENTIFICADOR OMITIDO]</w:t>
      </w:r>
      <w:r>
        <w:rPr>
          <w:rFonts w:ascii="Times New Roman" w:hAnsi="Times New Roman" w:cs="Times New Roman"/>
          <w:b/>
          <w:bCs/>
          <w:sz w:val="24"/>
          <w:szCs w:val="24"/>
          <w:lang w:val="es-PY"/>
        </w:rPr>
        <w:t xml:space="preserve"> </w:t>
      </w:r>
      <w:r>
        <w:rPr>
          <w:rFonts w:ascii="Times New Roman" w:hAnsi="Times New Roman" w:cs="Times New Roman"/>
          <w:b/>
          <w:bCs/>
          <w:sz w:val="24"/>
          <w:szCs w:val="24"/>
          <w:lang w:val="es-PY"/>
        </w:rPr>
        <w:t xml:space="preserve"> </w:t>
      </w:r>
    </w:p>
    <w:p w14:paraId="3D23C2B8" w14:textId="77777777">
      <w:pPr>
        <w:jc w:val="both"/>
        <w:rPr>
          <w:rFonts w:ascii="Times New Roman" w:hAnsi="Times New Roman" w:cs="Times New Roman"/>
          <w:b/>
          <w:sz w:val="24"/>
          <w:szCs w:val="24"/>
          <w:lang w:val="es-PY"/>
        </w:rPr>
      </w:pPr>
      <w:r>
        <w:rPr>
          <w:rFonts w:ascii="Times New Roman" w:hAnsi="Times New Roman" w:cs="Times New Roman"/>
          <w:b/>
          <w:sz w:val="24"/>
          <w:szCs w:val="24"/>
          <w:lang w:val="es-PY"/>
        </w:rPr>
        <w:t>Vista:</w:t>
      </w:r>
    </w:p>
    <w:p w14:paraId="1FF1E749" w14:textId="3BD840FC">
      <w:pPr>
        <w:spacing w:line="360" w:lineRule="auto"/>
        <w:jc w:val="both"/>
        <w:rPr>
          <w:rFonts w:ascii="Times New Roman" w:hAnsi="Times New Roman" w:cs="Times New Roman"/>
          <w:sz w:val="24"/>
          <w:szCs w:val="24"/>
          <w:lang w:val="es-PY"/>
        </w:rPr>
      </w:pPr>
      <w:r>
        <w:rPr>
          <w:rFonts w:ascii="Times New Roman" w:hAnsi="Times New Roman" w:cs="Times New Roman"/>
          <w:sz w:val="24"/>
          <w:szCs w:val="24"/>
          <w:lang w:val="es-PY"/>
        </w:rPr>
        <w:t>La nota</w:t>
      </w:r>
      <w:r>
        <w:rPr>
          <w:rFonts w:ascii="Times New Roman" w:hAnsi="Times New Roman" w:cs="Times New Roman"/>
          <w:sz w:val="24"/>
          <w:szCs w:val="24"/>
          <w:lang w:val="es-PY"/>
        </w:rPr>
        <w:t xml:space="preserve"> de retención </w:t>
      </w:r>
      <w:r>
        <w:rPr>
          <w:rFonts w:ascii="Times New Roman" w:hAnsi="Times New Roman" w:cs="Times New Roman"/>
          <w:sz w:val="24"/>
          <w:szCs w:val="24"/>
          <w:lang w:val="es-PY"/>
        </w:rPr>
        <w:t>DNC [IDENTIFICADOR OMITIDO]</w:t>
      </w:r>
      <w:r>
        <w:rPr>
          <w:rFonts w:ascii="Times New Roman" w:hAnsi="Times New Roman" w:cs="Times New Roman"/>
          <w:sz w:val="24"/>
          <w:szCs w:val="24"/>
          <w:lang w:val="es-PY"/>
        </w:rPr>
        <w:t/>
      </w:r>
      <w:r>
        <w:rPr>
          <w:rFonts w:ascii="Times New Roman" w:hAnsi="Times New Roman" w:cs="Times New Roman"/>
          <w:sz w:val="24"/>
          <w:szCs w:val="24"/>
          <w:lang w:val="es-PY"/>
        </w:rPr>
        <w:t xml:space="preserve">, de fecha [FECHA OMITIDA] </w:t>
      </w:r>
      <w:r>
        <w:rPr>
          <w:rFonts w:ascii="Times New Roman" w:hAnsi="Times New Roman" w:cs="Times New Roman"/>
          <w:sz w:val="24"/>
          <w:szCs w:val="24"/>
          <w:lang w:val="es-PY"/>
        </w:rPr>
        <w:t xml:space="preserve">para la ejecución del Contrato [IDENTIFICADOR OMITIDO] – [OBJETO CONTRACTUAL ANONIMIZADO]. </w:t>
      </w:r>
    </w:p>
    <w:p w14:paraId="61E81A6A" w14:textId="4408C875">
      <w:pPr>
        <w:pStyle w:val="NormalWeb"/>
        <w:jc w:val="both"/>
        <w:rPr>
          <w:rStyle w:val="Textoennegrita"/>
        </w:rPr>
      </w:pPr>
      <w:r>
        <w:rPr>
          <w:rStyle w:val="Textoennegrita"/>
        </w:rPr>
        <w:t>Considerando</w:t>
      </w:r>
      <w:r>
        <w:rPr>
          <w:rStyle w:val="Textoennegrita"/>
        </w:rPr>
        <w:t>:</w:t>
      </w:r>
    </w:p>
    <w:p w14:paraId="4B8FF825" w14:textId="19EB6680">
      <w:pPr>
        <w:jc w:val="both"/>
        <w:rPr>
          <w:rFonts w:ascii="Times New Roman" w:hAnsi="Times New Roman" w:cs="Times New Roman"/>
          <w:i/>
          <w:iCs/>
          <w:sz w:val="24"/>
          <w:szCs w:val="24"/>
          <w:lang w:val="es-PY"/>
        </w:rPr>
      </w:pPr>
      <w:r>
        <w:rPr>
          <w:rFonts w:ascii="Times New Roman" w:hAnsi="Times New Roman" w:cs="Times New Roman"/>
          <w:sz w:val="24"/>
          <w:szCs w:val="24"/>
          <w:lang w:val="es-PY"/>
        </w:rPr>
        <w:t xml:space="preserve">Lo observado: </w:t>
      </w:r>
      <w:r>
        <w:rPr>
          <w:rFonts w:ascii="Times New Roman" w:hAnsi="Times New Roman" w:cs="Times New Roman"/>
          <w:i/>
          <w:iCs/>
          <w:sz w:val="24"/>
          <w:szCs w:val="24"/>
          <w:lang w:val="es-PY"/>
        </w:rPr>
        <w:t xml:space="preserve">Según se verifica en el dictamen de </w:t>
      </w:r>
      <w:r>
        <w:rPr>
          <w:rFonts w:ascii="Times New Roman" w:hAnsi="Times New Roman" w:cs="Times New Roman"/>
          <w:i/>
          <w:iCs/>
          <w:sz w:val="24"/>
          <w:szCs w:val="24"/>
          <w:lang w:val="es-PY"/>
        </w:rPr>
        <w:t>ampliación en</w:t>
      </w:r>
      <w:r>
        <w:rPr>
          <w:rFonts w:ascii="Times New Roman" w:hAnsi="Times New Roman" w:cs="Times New Roman"/>
          <w:i/>
          <w:iCs/>
          <w:sz w:val="24"/>
          <w:szCs w:val="24"/>
          <w:lang w:val="es-PY"/>
        </w:rPr>
        <w:t xml:space="preserve"> el </w:t>
      </w:r>
      <w:r>
        <w:rPr>
          <w:rFonts w:ascii="Times New Roman" w:hAnsi="Times New Roman" w:cs="Times New Roman"/>
          <w:i/>
          <w:iCs/>
          <w:sz w:val="24"/>
          <w:szCs w:val="24"/>
          <w:lang w:val="es-PY"/>
        </w:rPr>
        <w:t>art.</w:t>
      </w:r>
      <w:r>
        <w:rPr>
          <w:rFonts w:ascii="Times New Roman" w:hAnsi="Times New Roman" w:cs="Times New Roman"/>
          <w:i/>
          <w:iCs/>
          <w:sz w:val="24"/>
          <w:szCs w:val="24"/>
          <w:lang w:val="es-PY"/>
        </w:rPr>
        <w:t xml:space="preserve"> 67 no contempla las modificaciones que desean realizar en dicho expediente cargado en el SICP favor verificar dicho argumento para su posterior verificación correcta.</w:t>
      </w:r>
    </w:p>
    <w:p w14:paraId="55024101" w14:textId="77777777">
      <w:pPr>
        <w:jc w:val="both"/>
        <w:rPr>
          <w:rFonts w:ascii="Times New Roman" w:hAnsi="Times New Roman" w:cs="Times New Roman"/>
          <w:sz w:val="24"/>
          <w:szCs w:val="24"/>
          <w:lang w:val="es-PY"/>
        </w:rPr>
      </w:pPr>
    </w:p>
    <w:p w14:paraId="1DBD177F" w14:textId="232AD5E3">
      <w:pPr>
        <w:jc w:val="both"/>
        <w:rPr>
          <w:rFonts w:ascii="Times New Roman" w:hAnsi="Times New Roman" w:cs="Times New Roman"/>
          <w:i/>
          <w:iCs/>
          <w:sz w:val="24"/>
          <w:szCs w:val="24"/>
          <w:lang w:val="es-PY"/>
        </w:rPr>
      </w:pPr>
      <w:r>
        <w:rPr>
          <w:rFonts w:ascii="Times New Roman" w:eastAsia="Times New Roman" w:hAnsi="Times New Roman" w:cs="Times New Roman"/>
          <w:sz w:val="24"/>
          <w:szCs w:val="24"/>
          <w:lang w:val="es-PY" w:eastAsia="es-PY"/>
        </w:rPr>
        <w:t>En ese sentido se</w:t>
      </w:r>
      <w:r>
        <w:rPr>
          <w:rFonts w:ascii="Times New Roman" w:eastAsia="Times New Roman" w:hAnsi="Times New Roman" w:cs="Times New Roman"/>
          <w:sz w:val="24"/>
          <w:szCs w:val="24"/>
          <w:lang w:val="es-PY" w:eastAsia="es-PY"/>
        </w:rPr>
        <w:t xml:space="preserve"> considera lo</w:t>
      </w:r>
      <w:r>
        <w:rPr>
          <w:rFonts w:ascii="Arial" w:hAnsi="Arial" w:cs="Arial"/>
          <w:sz w:val="20"/>
          <w:szCs w:val="20"/>
          <w:lang w:val="es-PY"/>
        </w:rPr>
        <w:t xml:space="preserve"> </w:t>
      </w:r>
      <w:r>
        <w:rPr>
          <w:rFonts w:ascii="Times New Roman" w:eastAsia="Times New Roman" w:hAnsi="Times New Roman" w:cs="Times New Roman"/>
          <w:sz w:val="24"/>
          <w:szCs w:val="24"/>
          <w:lang w:val="es-PY" w:eastAsia="es-PY"/>
        </w:rPr>
        <w:t xml:space="preserve">establecido en </w:t>
      </w:r>
      <w:r>
        <w:rPr>
          <w:rFonts w:ascii="Times New Roman" w:eastAsia="Times New Roman" w:hAnsi="Times New Roman" w:cs="Times New Roman"/>
          <w:sz w:val="24"/>
          <w:szCs w:val="24"/>
          <w:lang w:val="es-PY" w:eastAsia="es-PY"/>
        </w:rPr>
        <w:t xml:space="preserve">el </w:t>
      </w:r>
      <w:r>
        <w:rPr>
          <w:rFonts w:ascii="Times New Roman" w:hAnsi="Times New Roman" w:cs="Times New Roman"/>
          <w:sz w:val="24"/>
          <w:szCs w:val="24"/>
          <w:lang w:val="es-PY"/>
        </w:rPr>
        <w:t xml:space="preserve">Artículo </w:t>
      </w:r>
      <w:r>
        <w:rPr>
          <w:rFonts w:ascii="Times New Roman" w:hAnsi="Times New Roman" w:cs="Times New Roman"/>
          <w:sz w:val="24"/>
          <w:szCs w:val="24"/>
          <w:lang w:val="es-PY"/>
        </w:rPr>
        <w:t xml:space="preserve">180 de la Resolución DNCP 230/2025 referente a </w:t>
      </w:r>
      <w:r>
        <w:rPr>
          <w:rFonts w:ascii="Times New Roman" w:hAnsi="Times New Roman" w:cs="Times New Roman"/>
          <w:b/>
          <w:bCs/>
          <w:sz w:val="24"/>
          <w:szCs w:val="24"/>
          <w:lang w:val="es-PY"/>
        </w:rPr>
        <w:t>Otras modificaciones</w:t>
      </w:r>
      <w:r>
        <w:rPr>
          <w:rFonts w:ascii="Times New Roman" w:hAnsi="Times New Roman" w:cs="Times New Roman"/>
          <w:b/>
          <w:bCs/>
          <w:sz w:val="24"/>
          <w:szCs w:val="24"/>
          <w:lang w:val="es-PY"/>
        </w:rPr>
        <w:t xml:space="preserve"> </w:t>
      </w:r>
      <w:r>
        <w:rPr>
          <w:rFonts w:ascii="Times New Roman" w:hAnsi="Times New Roman" w:cs="Times New Roman"/>
          <w:sz w:val="24"/>
          <w:szCs w:val="24"/>
          <w:lang w:val="es-PY"/>
        </w:rPr>
        <w:t>que dispone cuanto sigue:</w:t>
      </w:r>
      <w:r>
        <w:rPr>
          <w:rFonts w:ascii="Times New Roman" w:hAnsi="Times New Roman" w:cs="Times New Roman"/>
          <w:b/>
          <w:bCs/>
          <w:sz w:val="24"/>
          <w:szCs w:val="24"/>
          <w:lang w:val="es-PY"/>
        </w:rPr>
        <w:t xml:space="preserve"> </w:t>
      </w:r>
      <w:r>
        <w:rPr>
          <w:rFonts w:ascii="Times New Roman" w:hAnsi="Times New Roman" w:cs="Times New Roman"/>
          <w:sz w:val="24"/>
          <w:szCs w:val="24"/>
          <w:lang w:val="es-PY"/>
        </w:rPr>
        <w:t xml:space="preserve"> </w:t>
      </w:r>
    </w:p>
    <w:p w14:paraId="7A3B2EBC" w14:textId="77777777">
      <w:pPr>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w:t>
      </w:r>
      <w:r>
        <w:rPr>
          <w:rFonts w:ascii="Times New Roman" w:hAnsi="Times New Roman" w:cs="Times New Roman"/>
          <w:i/>
          <w:iCs/>
          <w:sz w:val="24"/>
          <w:szCs w:val="24"/>
          <w:lang w:val="es-PY"/>
        </w:rPr>
        <w:t>Todas las modificaciones contractuales que no se hallen descritas en los artículos anteriores, y siempre que las mismas no impliquen otorgar condiciones más favorables al contratista, deberán remitirse a través del módulo “Otras modificaciones", con la misma documentación solicitada para los procedimientos de Ampliaciones, o la que la DNCP considere necesaria, atendiendo al caso particular</w:t>
      </w:r>
      <w:r>
        <w:rPr>
          <w:rFonts w:ascii="Times New Roman" w:hAnsi="Times New Roman" w:cs="Times New Roman"/>
          <w:i/>
          <w:iCs/>
          <w:sz w:val="24"/>
          <w:szCs w:val="24"/>
          <w:lang w:val="es-PY"/>
        </w:rPr>
        <w:t>”</w:t>
      </w:r>
    </w:p>
    <w:p w14:paraId="32390266" w14:textId="77777777">
      <w:pPr>
        <w:spacing w:before="100" w:beforeAutospacing="1" w:after="100" w:afterAutospacing="1"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 xml:space="preserve">Antecedente </w:t>
      </w:r>
    </w:p>
    <w:p w14:paraId="2300E244" w14:textId="77777777">
      <w:pPr>
        <w:spacing w:before="100" w:beforeAutospacing="1" w:after="100" w:afterAutospacing="1" w:line="360" w:lineRule="auto"/>
        <w:rPr>
          <w:rFonts w:ascii="Times New Roman" w:hAnsi="Times New Roman" w:cs="Times New Roman"/>
          <w:sz w:val="24"/>
          <w:szCs w:val="24"/>
          <w:lang w:val="es-PY"/>
        </w:rPr>
      </w:pPr>
      <w:r>
        <w:rPr>
          <w:rFonts w:ascii="Times New Roman" w:hAnsi="Times New Roman" w:cs="Times New Roman"/>
          <w:sz w:val="24"/>
          <w:szCs w:val="24"/>
          <w:lang w:val="es-PY"/>
        </w:rPr>
        <w:t>En el marco del Contrato [IDENTIFICADOR OMITIDO], referente a la [OBJETO CONTRACTUAL ANONIMIZADO]</w:t>
      </w:r>
      <w:r>
        <w:rPr>
          <w:rFonts w:ascii="Times New Roman" w:hAnsi="Times New Roman" w:cs="Times New Roman"/>
          <w:sz w:val="24"/>
          <w:szCs w:val="24"/>
          <w:lang w:val="es-PY"/>
        </w:rPr>
        <w:t xml:space="preserve"/>
      </w:r>
      <w:r>
        <w:rPr>
          <w:rFonts w:ascii="Times New Roman" w:hAnsi="Times New Roman" w:cs="Times New Roman"/>
          <w:sz w:val="24"/>
          <w:szCs w:val="24"/>
          <w:lang w:val="es-PY"/>
        </w:rPr>
        <w:t xml:space="preserve"> adjudicado a la firma [CONTRATISTA ANONIMIZADO].</w:t>
      </w:r>
      <w:r>
        <w:rPr>
          <w:rFonts w:ascii="Times New Roman" w:hAnsi="Times New Roman" w:cs="Times New Roman"/>
          <w:sz w:val="24"/>
          <w:szCs w:val="24"/>
          <w:lang w:val="es-PY"/>
        </w:rPr>
        <w:t xml:space="preserve"> </w:t>
      </w:r>
    </w:p>
    <w:p w14:paraId="0E44918F" w14:textId="501DD1A7">
      <w:pPr>
        <w:spacing w:after="0" w:line="360" w:lineRule="auto"/>
        <w:jc w:val="both"/>
        <w:rPr>
          <w:rFonts w:ascii="Times New Roman" w:hAnsi="Times New Roman" w:cs="Times New Roman"/>
          <w:i/>
          <w:iCs/>
          <w:sz w:val="24"/>
          <w:szCs w:val="24"/>
          <w:lang w:val="es-PY"/>
        </w:rPr>
      </w:pPr>
      <w:r>
        <w:rPr>
          <w:rFonts w:ascii="Times New Roman" w:hAnsi="Times New Roman" w:cs="Times New Roman"/>
          <w:sz w:val="24"/>
          <w:szCs w:val="24"/>
          <w:lang w:val="es-PY"/>
        </w:rPr>
        <w:t>L</w:t>
      </w:r>
      <w:r>
        <w:rPr>
          <w:rFonts w:ascii="Times New Roman" w:hAnsi="Times New Roman" w:cs="Times New Roman"/>
          <w:sz w:val="24"/>
          <w:szCs w:val="24"/>
          <w:lang w:val="es-PY"/>
        </w:rPr>
        <w:t xml:space="preserve">a empresa contratista ha presentado nota en la que </w:t>
      </w:r>
      <w:r>
        <w:rPr>
          <w:rFonts w:ascii="Times New Roman" w:hAnsi="Times New Roman" w:cs="Times New Roman"/>
          <w:sz w:val="24"/>
          <w:szCs w:val="24"/>
          <w:lang w:val="es-PY"/>
        </w:rPr>
        <w:t>manifiesta que “</w:t>
      </w:r>
      <w:r>
        <w:rPr>
          <w:rFonts w:ascii="Times New Roman" w:hAnsi="Times New Roman" w:cs="Times New Roman"/>
          <w:i/>
          <w:iCs/>
          <w:sz w:val="24"/>
          <w:szCs w:val="24"/>
          <w:u w:val="single"/>
          <w:lang w:val="es-PY"/>
        </w:rPr>
        <w:t>Puertas:</w:t>
      </w:r>
      <w:r>
        <w:rPr>
          <w:rFonts w:ascii="Times New Roman" w:hAnsi="Times New Roman" w:cs="Times New Roman"/>
          <w:i/>
          <w:iCs/>
          <w:sz w:val="24"/>
          <w:szCs w:val="24"/>
          <w:lang w:val="es-PY"/>
        </w:rPr>
        <w:t xml:space="preserve"> En el diseño original se contempla la instalación de un pasadizo aproximado de 2.000 mmx1.400mm, con una cabina proyectada de 1.400 mm x 900 mm, medidas sujetos a confirmación previo replanteo. No obstante, del replanteo en obra para la fabricación de la cabina, puertas y marcos, se constató que las dimensiones reales difieren de lo establecido en el pliego de bases y condiciones, siendo el hueco existente de 1.400 mm x 1.700 mm ya que el hueco contemplaba medidas irregulares en los diferentes pisos, lo cual modifica de manera determinante la configuración estructural y funcional del equipo. Para la colocación de una puerta con un ancho libre de paso de 900 mm, se requiere un frente mínimo aproximado de 1.750 mm, a fin de contemplar la instalación de guías laterales (aproximadamente 100 mm), el espacio destinado al contrapeso y los sistemas de seguridad. En función del replanteo </w:t>
      </w:r>
      <w:r>
        <w:rPr>
          <w:rFonts w:ascii="Times New Roman" w:hAnsi="Times New Roman" w:cs="Times New Roman"/>
          <w:i/>
          <w:iCs/>
          <w:sz w:val="24"/>
          <w:szCs w:val="24"/>
          <w:lang w:val="es-PY"/>
        </w:rPr>
        <w:lastRenderedPageBreak/>
        <w:t>realizado se determinó una configuración final de cabina de 1.300mm. x 1.120mm., por lo que se propone la instalación de una puerta con un ancho libre de paso de 800 mm, solución que se ajusta adecuadamente a las dimensiones reales del ducto, permitiendo una correcta configuración de los componentes del sistema, cumple con los requisitos funcionales del ascensor y garantiza condiciones seguras de operación conforme a normativa vigente. Por lo cual se aclara que es inexistente una medida de 950mm para una apertura libre. En este sentido, se realizó un análisis técnico integral considerando la distribución del espacio disponible entre cabina, contrapeso, guías, separaciones de seguridad, estructura portante y sistema de apertura de puertas automáticas. Como resultado de dicho estudio, se determinó que la implementación de una puerta mayor a 800 mm no resulta viable, debido a la insuficiencia de espacio para una cabina compatible, la imposibilidad de respetar tolerancias de seguridad, la interferencia con el sistema de contrapeso y las limitaciones propias del ducto existente, forzar dicha configuración implicaría riesgos operativos y la necesidad de un rediseño integral del ducto mediante obra civil, lo cual no resulta técnicamente inviable ya que la convocante ya cuenta con el ducto.</w:t>
      </w:r>
    </w:p>
    <w:p w14:paraId="15CAA1D3" w14:textId="192D309E">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Las dimensiones del ducto</w:t>
      </w:r>
      <w:r>
        <w:rPr>
          <w:rFonts w:ascii="Times New Roman" w:hAnsi="Times New Roman" w:cs="Times New Roman"/>
          <w:i/>
          <w:iCs/>
          <w:sz w:val="24"/>
          <w:szCs w:val="24"/>
          <w:lang w:val="es-PY"/>
        </w:rPr>
        <w:t>: Las dimensiones del ducto determinan la disposición de la cabina y el contrapeso. Debido a la configuración de puerta de apertura lateral, el espacio interior del hueco se ve reducido por la presencia de las guías y soportes del contrapeso, estos soportes limitan físicamente el ancho de paso máximo de la puerta de cabina, imposibilitando técnicamente la instalación de una hoja de 950 mm.</w:t>
      </w:r>
    </w:p>
    <w:p w14:paraId="75AED42B" w14:textId="1648CDBE">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Las dimensiones actuales del ducto permiten, sin embargo, la instalación de una puerta de 800 mm, medida que cumple estrictamente con el mínimo exigido para accesibilidad según la norma EN 81-70.</w:t>
      </w:r>
    </w:p>
    <w:p w14:paraId="195D75A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Dintel:</w:t>
      </w:r>
      <w:r>
        <w:rPr>
          <w:rFonts w:ascii="Times New Roman" w:hAnsi="Times New Roman" w:cs="Times New Roman"/>
          <w:i/>
          <w:iCs/>
          <w:sz w:val="24"/>
          <w:szCs w:val="24"/>
          <w:lang w:val="es-PY"/>
        </w:rPr>
        <w:t xml:space="preserve"> Según pliego de base y condiciones establece una distancia del suelo al dintel de 2250 mm. luego de replanteo en obra, en coordinaciones con fábrica la viabilidad técnica es de un dintel de medida de 2130 mm. para un correcto funcionamiento e instalación de un operador y mecanismo de puerta de medida de 800 mm. la altura final del dintel queda inevitablemente condicionada por las dimensiones de apertura que impone el marco de la puerta. </w:t>
      </w:r>
    </w:p>
    <w:p w14:paraId="0209B47D" w14:textId="73F50213">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Llave térmica y Tablero de sala de máquinas</w:t>
      </w:r>
      <w:r>
        <w:rPr>
          <w:rFonts w:ascii="Times New Roman" w:hAnsi="Times New Roman" w:cs="Times New Roman"/>
          <w:i/>
          <w:iCs/>
          <w:sz w:val="24"/>
          <w:szCs w:val="24"/>
          <w:lang w:val="es-PY"/>
        </w:rPr>
        <w:t>: El dimensionamiento de una llave termomagnética de 25A para un motor de ascensor con un consumo nominal de 10A responde estrictamente a las exigencias dinámicas del sistema de tracción. Durante las operaciones de descenso con carga completa, el variador de frecuencia requiere elevar el torque hasta un 180% de su capacidad para frenar y controlar la inercia. Este esfuerzo mecánico se traduce en un incremento transitorio de la corriente que superaría rápidamente el límite de una protección más ajustada. La llave de 25A proporciona el margen térmico necesario para absorber esta demanda operativa sin producir cortes intempestivos que detendrían la cabina en pleno recorrido. Asimismo, la elección de una llave termomagnética con curva de disparo tipo C es indispensable para este escenario. Esta curva está diseñada para tolerar de forma segura corrientes de irrupción transitorias de entre 5 y 10 veces el valor nominal. Esto evita que la protección actúe erróneamente ante las fluctuaciones inductivas del motor y la carga inicial del variador de frecuencia, garantizando una operación continua.</w:t>
      </w:r>
    </w:p>
    <w:p w14:paraId="3F515A3D" w14:textId="1588F23D">
      <w:pPr>
        <w:spacing w:before="100" w:beforeAutospacing="1" w:after="100" w:afterAutospacing="1"/>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Por último, este dimensionamiento respeta el principio de selectividad en la cascada de protección eléctrica. La llave térmica seccionada de 25A, destinada a la protección local del motor y su </w:t>
      </w:r>
      <w:r>
        <w:rPr>
          <w:rFonts w:ascii="Times New Roman" w:hAnsi="Times New Roman" w:cs="Times New Roman"/>
          <w:i/>
          <w:iCs/>
          <w:sz w:val="24"/>
          <w:szCs w:val="24"/>
          <w:lang w:val="es-PY"/>
        </w:rPr>
        <w:lastRenderedPageBreak/>
        <w:t>variador, se encuentra concatenada y conectada en serie con la llave general de distribución de 32A que se ha solicitado. Esta configuración jerárquica asegura que, ante un eventual cortocircuito o sobrecarga crítica en el sistema de tracción, la protección de 25A actúe primero. De esta forma, se aísla la falla del motor sin provocar el disparo de la llave general de 32A, manteniendo operativo el resto del tablero y del sistema eléctrico del edificio.</w:t>
      </w:r>
    </w:p>
    <w:p w14:paraId="549BA120" w14:textId="77777777">
      <w:pPr>
        <w:spacing w:after="0"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Análisis Técnico</w:t>
      </w:r>
    </w:p>
    <w:p w14:paraId="74F771CF" w14:textId="1892D900">
      <w:pPr>
        <w:spacing w:after="0" w:line="360" w:lineRule="auto"/>
        <w:rPr>
          <w:rFonts w:ascii="Times New Roman" w:eastAsia="Times New Roman" w:hAnsi="Times New Roman" w:cs="Times New Roman"/>
          <w:sz w:val="24"/>
          <w:szCs w:val="24"/>
          <w:lang w:val="es-PY" w:eastAsia="es-PY"/>
        </w:rPr>
      </w:pPr>
      <w:r>
        <w:rPr>
          <w:rFonts w:ascii="Times New Roman" w:eastAsia="Times New Roman" w:hAnsi="Times New Roman" w:cs="Times New Roman"/>
          <w:sz w:val="24"/>
          <w:szCs w:val="24"/>
          <w:lang w:val="es-PY" w:eastAsia="es-PY"/>
        </w:rPr>
        <w:t>De acuerdo con lo manifestado por el Ing. Electromecánico y la Fiscal de Obras, en su carácter de profesionales técnicos del área, se detallan a continuación las consideraciones técnicas emitidas respecto a la solicitud presentada.</w:t>
      </w:r>
    </w:p>
    <w:p w14:paraId="56AC39C3" w14:textId="4D7AA421">
      <w:pPr>
        <w:spacing w:before="100" w:beforeAutospacing="1" w:after="100" w:afterAutospacing="1" w:line="360" w:lineRule="auto"/>
        <w:rPr>
          <w:rFonts w:ascii="Times New Roman" w:eastAsia="Times New Roman" w:hAnsi="Times New Roman" w:cs="Times New Roman"/>
          <w:sz w:val="24"/>
          <w:szCs w:val="24"/>
          <w:lang w:val="es-PY" w:eastAsia="es-PY"/>
        </w:rPr>
      </w:pPr>
      <w:r>
        <w:rPr>
          <w:rFonts w:ascii="Times New Roman" w:eastAsia="Times New Roman" w:hAnsi="Times New Roman" w:cs="Times New Roman"/>
          <w:sz w:val="24"/>
          <w:szCs w:val="24"/>
          <w:u w:val="single"/>
          <w:lang w:val="es-PY" w:eastAsia="es-PY"/>
        </w:rPr>
        <w:t xml:space="preserve"> </w:t>
      </w:r>
      <w:r>
        <w:rPr>
          <w:rFonts w:ascii="Times New Roman" w:eastAsia="Times New Roman" w:hAnsi="Times New Roman" w:cs="Times New Roman"/>
          <w:b/>
          <w:bCs/>
          <w:sz w:val="24"/>
          <w:szCs w:val="24"/>
          <w:u w:val="single"/>
          <w:lang w:val="es-PY" w:eastAsia="es-PY"/>
        </w:rPr>
        <w:t>Técnico del área, el Ing. Electromecánico</w:t>
      </w:r>
      <w:r>
        <w:rPr>
          <w:rFonts w:ascii="Times New Roman" w:eastAsia="Times New Roman" w:hAnsi="Times New Roman" w:cs="Times New Roman"/>
          <w:sz w:val="24"/>
          <w:szCs w:val="24"/>
          <w:lang w:val="es-PY" w:eastAsia="es-PY"/>
        </w:rPr>
        <w:t xml:space="preserve">:  </w:t>
      </w:r>
    </w:p>
    <w:p w14:paraId="62539FA5"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Comparación técnica descriptiva</w:t>
      </w:r>
    </w:p>
    <w:p w14:paraId="3D206518" w14:textId="77777777">
      <w:pPr>
        <w:spacing w:after="0"/>
        <w:jc w:val="both"/>
        <w:rPr>
          <w:rFonts w:ascii="Times New Roman" w:hAnsi="Times New Roman" w:cs="Times New Roman"/>
          <w:b/>
          <w:bCs/>
          <w:i/>
          <w:iCs/>
          <w:sz w:val="24"/>
          <w:szCs w:val="24"/>
          <w:lang w:val="es-PY"/>
        </w:rPr>
      </w:pPr>
      <w:r>
        <w:rPr>
          <w:rFonts w:ascii="Times New Roman" w:eastAsia="Times New Roman" w:hAnsi="Times New Roman" w:cs="Times New Roman"/>
          <w:b/>
          <w:bCs/>
          <w:i/>
          <w:iCs/>
          <w:sz w:val="24"/>
          <w:szCs w:val="24"/>
          <w:lang w:val="es-PY" w:eastAsia="es-PY"/>
        </w:rPr>
        <w:t>2.1</w:t>
      </w:r>
      <w:r>
        <w:rPr>
          <w:rFonts w:ascii="Times New Roman" w:hAnsi="Times New Roman" w:cs="Times New Roman"/>
          <w:b/>
          <w:bCs/>
          <w:i/>
          <w:iCs/>
          <w:sz w:val="24"/>
          <w:szCs w:val="24"/>
          <w:lang w:val="es-PY"/>
        </w:rPr>
        <w:t>. Dimensiones del ducto</w:t>
      </w:r>
    </w:p>
    <w:p w14:paraId="1ED30FA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de Bases y Condiciones establece un pasadizo aproximado de 2.000 mm × 1.400</w:t>
      </w:r>
    </w:p>
    <w:p w14:paraId="220B590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mm, aclarando que las medidas de cabina debían ser confirmadas previo replanteo. Esta</w:t>
      </w:r>
    </w:p>
    <w:p w14:paraId="2863043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aclaración es relevante, porque reconoce que las dimensiones finales podían depender de la</w:t>
      </w:r>
    </w:p>
    <w:p w14:paraId="79A64F7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verificación física en obra.</w:t>
      </w:r>
    </w:p>
    <w:p w14:paraId="7C43174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empresa informa que, realizado el replanteo, el hueco real disponible es de</w:t>
      </w:r>
    </w:p>
    <w:p w14:paraId="34E15F5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aproximadamente 1.400 mm × 1.700 mm, con irregularidades entre los diferentes niveles.</w:t>
      </w:r>
    </w:p>
    <w:p w14:paraId="4513E81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Esta diferencia modifica la configuración del ascensor, especialmente la ubicación de</w:t>
      </w:r>
    </w:p>
    <w:p w14:paraId="27BAD55B" w14:textId="77777777">
      <w:pPr>
        <w:spacing w:after="0"/>
        <w:jc w:val="both"/>
        <w:rPr>
          <w:rFonts w:ascii="Times New Roman" w:eastAsia="Times New Roman" w:hAnsi="Times New Roman" w:cs="Times New Roman"/>
          <w:i/>
          <w:iCs/>
          <w:sz w:val="24"/>
          <w:szCs w:val="24"/>
          <w:lang w:val="es-PY" w:eastAsia="es-PY"/>
        </w:rPr>
      </w:pPr>
      <w:r>
        <w:rPr>
          <w:rFonts w:ascii="Times New Roman" w:hAnsi="Times New Roman" w:cs="Times New Roman"/>
          <w:i/>
          <w:iCs/>
          <w:sz w:val="24"/>
          <w:szCs w:val="24"/>
          <w:lang w:val="es-PY"/>
        </w:rPr>
        <w:t>cabina, contrapeso</w:t>
      </w:r>
      <w:r>
        <w:rPr>
          <w:rFonts w:ascii="Times New Roman" w:eastAsia="Times New Roman" w:hAnsi="Times New Roman" w:cs="Times New Roman"/>
          <w:i/>
          <w:iCs/>
          <w:sz w:val="24"/>
          <w:szCs w:val="24"/>
          <w:lang w:val="es-PY" w:eastAsia="es-PY"/>
        </w:rPr>
        <w:t>, guías y sistema de apertura de puertas.</w:t>
      </w:r>
    </w:p>
    <w:p w14:paraId="4597BD3B"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Desde el punto de vista técnico, esta diferencia puede considerarse justificable, siempre que</w:t>
      </w:r>
    </w:p>
    <w:p w14:paraId="69434A9C"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el replanteo haya sido efectivamente verificado por la fiscalización. En ascensores, el ducto</w:t>
      </w:r>
    </w:p>
    <w:p w14:paraId="55923C21"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existente condiciona directamente el diseño final del equipo.</w:t>
      </w:r>
    </w:p>
    <w:p w14:paraId="6619A8AF" w14:textId="77777777">
      <w:pPr>
        <w:spacing w:after="0"/>
        <w:jc w:val="both"/>
        <w:rPr>
          <w:rFonts w:ascii="Times New Roman" w:eastAsia="Times New Roman" w:hAnsi="Times New Roman" w:cs="Times New Roman"/>
          <w:b/>
          <w:bCs/>
          <w:i/>
          <w:iCs/>
          <w:sz w:val="24"/>
          <w:szCs w:val="24"/>
          <w:lang w:val="es-PY" w:eastAsia="es-PY"/>
        </w:rPr>
      </w:pPr>
      <w:r>
        <w:rPr>
          <w:rFonts w:ascii="Times New Roman" w:eastAsia="Times New Roman" w:hAnsi="Times New Roman" w:cs="Times New Roman"/>
          <w:b/>
          <w:bCs/>
          <w:i/>
          <w:iCs/>
          <w:sz w:val="24"/>
          <w:szCs w:val="24"/>
          <w:lang w:val="es-PY" w:eastAsia="es-PY"/>
        </w:rPr>
        <w:t>2.2. Dimensiones de cabina</w:t>
      </w:r>
    </w:p>
    <w:p w14:paraId="01693498"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El pliego indicaba una cabina de 1.400 mm × 900 mm, sujeta a confirmación previo</w:t>
      </w:r>
    </w:p>
    <w:p w14:paraId="3C1357B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replanteo. La empresa propone una cabina final de 1.300 mm × 1.120 mm.</w:t>
      </w:r>
    </w:p>
    <w:p w14:paraId="4D19505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Esta modificación no representa necesariamente una disminución funcional, ya que el</w:t>
      </w:r>
    </w:p>
    <w:p w14:paraId="5F2CE44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ancho disminuye, pero la profundidad aumenta. Por tanto, debe evaluarse en función de la</w:t>
      </w:r>
    </w:p>
    <w:p w14:paraId="562547F9" w14:textId="353729D5">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capacidad, accesibilidad, seguridad de operación y compatibilidad con el ducto.</w:t>
      </w:r>
    </w:p>
    <w:p w14:paraId="6F46F88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Técnicamente, la modificación puede aceptarse si se demuestra que la cabina mantiene la</w:t>
      </w:r>
    </w:p>
    <w:p w14:paraId="10B8D0B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capacidad requerida para 6 personas, cumple con la carga nominal indicada en el pliego y</w:t>
      </w:r>
    </w:p>
    <w:p w14:paraId="1D2C0AE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afecta la seguridad del usuario.</w:t>
      </w:r>
    </w:p>
    <w:p w14:paraId="3DABBEAD"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2.3. Ancho de puerta</w:t>
      </w:r>
    </w:p>
    <w:p w14:paraId="00BEBC8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establece una puerta de cabina automática de 950 mm. La empresa propone</w:t>
      </w:r>
    </w:p>
    <w:p w14:paraId="3052698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instalar una puerta de 800 mm de ancho libre, argumentando que las dimensiones reales del</w:t>
      </w:r>
    </w:p>
    <w:p w14:paraId="64A7DAA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ducto no permiten ubicar una puerta mayor sin comprometer guías, contrapeso y espacios</w:t>
      </w:r>
    </w:p>
    <w:p w14:paraId="167D1ABF"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 seguridad.</w:t>
      </w:r>
    </w:p>
    <w:p w14:paraId="5877BEC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Este punto constituye una diferencia importante respecto al pliego. Sin embargo, la empresa</w:t>
      </w:r>
    </w:p>
    <w:p w14:paraId="04DF4E70"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sostiene que una puerta de 800 mm cumple con el mínimo requerido por la norma EN 81-</w:t>
      </w:r>
    </w:p>
    <w:p w14:paraId="05D0C641" w14:textId="23030406">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70, vinculada a accesibilidad en ascensores.</w:t>
      </w:r>
    </w:p>
    <w:p w14:paraId="45BE312C" w14:textId="77777777">
      <w:pPr>
        <w:spacing w:after="0"/>
        <w:jc w:val="both"/>
        <w:rPr>
          <w:rFonts w:ascii="Times New Roman" w:hAnsi="Times New Roman" w:cs="Times New Roman"/>
          <w:i/>
          <w:iCs/>
          <w:sz w:val="24"/>
          <w:szCs w:val="24"/>
          <w:lang w:val="es-PY"/>
        </w:rPr>
      </w:pPr>
    </w:p>
    <w:p w14:paraId="35525B7E"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Desde el punto de vista técnico, la reducción de 950 mm a 800 mm puede aceptarse</w:t>
      </w:r>
    </w:p>
    <w:p w14:paraId="338CCD3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lastRenderedPageBreak/>
        <w:t>únicamente si queda demostrado que:</w:t>
      </w:r>
    </w:p>
    <w:p w14:paraId="51920FCC"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ducto existente no permite instalar una puerta de 950 mm;</w:t>
      </w:r>
    </w:p>
    <w:p w14:paraId="67C3F3F1"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la puerta de 800 mm cumple la norma de accesibilidad aplicable;</w:t>
      </w:r>
    </w:p>
    <w:p w14:paraId="5024AAE4"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se afecta la seguridad de operación;</w:t>
      </w:r>
    </w:p>
    <w:p w14:paraId="1DE855CA" w14:textId="18BE1B29">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no se reduce indebidamente la funcionalidad prevista para el edificio.</w:t>
      </w:r>
    </w:p>
    <w:p w14:paraId="752FFA1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consecuencia, esta modificación es técnicamente aceptable, pero debe quedar respaldada</w:t>
      </w:r>
    </w:p>
    <w:p w14:paraId="4C99A6F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mediante acta de replanteo, planos finales y conformidad de fiscalización.</w:t>
      </w:r>
    </w:p>
    <w:p w14:paraId="3DA7E398"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2.4. Altura de dintel</w:t>
      </w:r>
    </w:p>
    <w:p w14:paraId="6CD3141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solicita una altura de dintel de 2,25 m. La empresa propone una altura de 2,13 m,</w:t>
      </w:r>
    </w:p>
    <w:p w14:paraId="78B66FF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indicando que esta medida resulta viable para el correcto funcionamiento del operador y</w:t>
      </w:r>
    </w:p>
    <w:p w14:paraId="09F2978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mecanismo de puerta de 800 mm.</w:t>
      </w:r>
    </w:p>
    <w:p w14:paraId="3AABB1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diferencia es de 12 cm. Técnicamente, esta modificación puede ser aceptable si no</w:t>
      </w:r>
    </w:p>
    <w:p w14:paraId="67B5AF25"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afecta la altura libre de paso, el funcionamiento del operador de puerta ni las condiciones de</w:t>
      </w:r>
    </w:p>
    <w:p w14:paraId="400D1EF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seguridad del usuario.</w:t>
      </w:r>
    </w:p>
    <w:p w14:paraId="5268F1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Por tanto, se considera aceptable en forma condicionada, debiendo presentarse el plano</w:t>
      </w:r>
    </w:p>
    <w:p w14:paraId="1EF614F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final de instalación y la ficha técnica del operador de puerta.</w:t>
      </w:r>
    </w:p>
    <w:p w14:paraId="618FFDA2"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2.5. Llave termomagnética general</w:t>
      </w:r>
    </w:p>
    <w:p w14:paraId="6C0213E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solicita una llave trifásica termomagnética de 3 × 50 A, mientras que la empresa</w:t>
      </w:r>
    </w:p>
    <w:p w14:paraId="26C18B6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indica que instalará una llave trifásica de 3 × 32 A, según coordinación con fábrica para el</w:t>
      </w:r>
    </w:p>
    <w:p w14:paraId="6A0D1720"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correcto funcionamiento del equipo.</w:t>
      </w:r>
    </w:p>
    <w:p w14:paraId="2883AD2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principio, la selección de dispositivos de protección no debe basarse únicamente en una</w:t>
      </w:r>
    </w:p>
    <w:p w14:paraId="5E97158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declaración del proveedor, sino que debe sustentarse en criterios técnicos que incluyan:</w:t>
      </w:r>
    </w:p>
    <w:p w14:paraId="65228E4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cálculo de corriente nominal, corriente de arranque, potencia del motor, factor de potencia,</w:t>
      </w:r>
    </w:p>
    <w:p w14:paraId="79B8FB47"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rendimiento, curvas de disparo, sección de conductores y coordinación de protecciones.</w:t>
      </w:r>
    </w:p>
    <w:p w14:paraId="488CC98E"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obstante, en el presente caso se dispone del dato de potencia del motor del ascensor, el</w:t>
      </w:r>
    </w:p>
    <w:p w14:paraId="5C1D22A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cual es de 4 kW. Considerando un sistema trifásico de 380 V, con un factor de potencia de</w:t>
      </w:r>
    </w:p>
    <w:p w14:paraId="64C83BB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0,8 inductivo y un rendimiento típico del orden de 0,85, la corriente nominal del motor</w:t>
      </w:r>
    </w:p>
    <w:p w14:paraId="70A882E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puede estimarse mediante la expresión:</w:t>
      </w:r>
    </w:p>
    <w:p w14:paraId="0BB37998" w14:textId="21864875">
      <w:pPr>
        <w:spacing w:after="0"/>
        <w:jc w:val="both"/>
        <w:rPr>
          <w:rFonts w:ascii="Times New Roman" w:hAnsi="Times New Roman" w:cs="Times New Roman"/>
          <w:i/>
          <w:iCs/>
          <w:sz w:val="24"/>
          <w:szCs w:val="24"/>
          <w:lang w:val="es-PY"/>
        </w:rPr>
      </w:pPr>
      <m:oMathPara>
        <m:oMath>
          <m:r>
            <w:rPr>
              <w:rFonts w:ascii="Cambria Math" w:eastAsia="Times New Roman" w:hAnsi="Cambria Math" w:cs="Times New Roman"/>
              <w:sz w:val="24"/>
              <w:szCs w:val="24"/>
              <w:lang w:eastAsia="es-MX"/>
            </w:rPr>
            <m:t>I=</m:t>
          </m:r>
          <m:f>
            <m:fPr>
              <m:ctrlPr>
                <w:rPr>
                  <w:rFonts w:ascii="Cambria Math" w:eastAsia="Times New Roman" w:hAnsi="Cambria Math" w:cs="Times New Roman"/>
                  <w:i/>
                  <w:sz w:val="24"/>
                  <w:szCs w:val="24"/>
                  <w:lang w:eastAsia="es-MX"/>
                </w:rPr>
              </m:ctrlPr>
            </m:fPr>
            <m:num>
              <m:r>
                <w:rPr>
                  <w:rFonts w:ascii="Cambria Math" w:eastAsia="Times New Roman" w:hAnsi="Cambria Math" w:cs="Times New Roman"/>
                  <w:sz w:val="24"/>
                  <w:szCs w:val="24"/>
                  <w:lang w:eastAsia="es-MX"/>
                </w:rPr>
                <m:t>P</m:t>
              </m:r>
            </m:num>
            <m:den>
              <m:rad>
                <m:radPr>
                  <m:degHide m:val="1"/>
                  <m:ctrlPr>
                    <w:rPr>
                      <w:rFonts w:ascii="Cambria Math" w:eastAsia="Times New Roman" w:hAnsi="Cambria Math" w:cs="Times New Roman"/>
                      <w:i/>
                      <w:sz w:val="24"/>
                      <w:szCs w:val="24"/>
                      <w:lang w:eastAsia="es-MX"/>
                    </w:rPr>
                  </m:ctrlPr>
                </m:radPr>
                <m:deg/>
                <m:e>
                  <m:r>
                    <w:rPr>
                      <w:rFonts w:ascii="Cambria Math" w:eastAsia="Times New Roman" w:hAnsi="Cambria Math" w:cs="Times New Roman"/>
                      <w:sz w:val="24"/>
                      <w:szCs w:val="24"/>
                      <w:lang w:eastAsia="es-MX"/>
                    </w:rPr>
                    <m:t>3</m:t>
                  </m:r>
                </m:e>
              </m:rad>
              <m:r>
                <w:rPr>
                  <w:rFonts w:ascii="Cambria Math" w:eastAsia="Times New Roman" w:hAnsi="Cambria Math" w:cs="Times New Roman"/>
                  <w:sz w:val="24"/>
                  <w:szCs w:val="24"/>
                  <w:lang w:eastAsia="es-MX"/>
                </w:rPr>
                <m:t>∙380∙FP∙μ</m:t>
              </m:r>
            </m:den>
          </m:f>
        </m:oMath>
      </m:oMathPara>
    </w:p>
    <w:p w14:paraId="2ED8AEED" w14:textId="49BB7DE8">
      <w:pPr>
        <w:spacing w:after="0"/>
        <w:jc w:val="both"/>
        <w:rPr>
          <w:rFonts w:ascii="Times New Roman" w:hAnsi="Times New Roman" w:cs="Times New Roman"/>
          <w:i/>
          <w:iCs/>
          <w:sz w:val="24"/>
          <w:szCs w:val="24"/>
          <w:lang w:val="es-PY"/>
        </w:rPr>
      </w:pPr>
    </w:p>
    <w:p w14:paraId="38DA15E2" w14:textId="77777777">
      <w:pPr>
        <w:spacing w:after="0"/>
        <w:jc w:val="both"/>
        <w:rPr>
          <w:rFonts w:ascii="Times New Roman" w:hAnsi="Times New Roman" w:cs="Times New Roman"/>
          <w:i/>
          <w:iCs/>
          <w:sz w:val="24"/>
          <w:szCs w:val="24"/>
          <w:lang w:val="es-PY"/>
        </w:rPr>
      </w:pPr>
    </w:p>
    <w:p w14:paraId="7F4C7862" w14:textId="4FD208C2">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 donde resulta una corriente del orden de:</w:t>
      </w:r>
    </w:p>
    <w:p w14:paraId="47A6D716" w14:textId="1A95CF1A">
      <w:pPr>
        <w:spacing w:after="0"/>
        <w:jc w:val="both"/>
        <w:rPr>
          <w:rFonts w:ascii="Times New Roman" w:hAnsi="Times New Roman" w:cs="Times New Roman"/>
          <w:i/>
          <w:iCs/>
          <w:sz w:val="24"/>
          <w:szCs w:val="24"/>
          <w:lang w:val="es-PY"/>
        </w:rPr>
      </w:pPr>
      <m:oMathPara>
        <m:oMath>
          <m:r>
            <w:rPr>
              <w:rFonts w:ascii="Cambria Math" w:eastAsia="Times New Roman" w:hAnsi="Cambria Math" w:cs="Times New Roman"/>
              <w:sz w:val="24"/>
              <w:szCs w:val="24"/>
              <w:lang w:eastAsia="es-MX"/>
            </w:rPr>
            <m:t>I≈8 a 10 A</m:t>
          </m:r>
        </m:oMath>
      </m:oMathPara>
    </w:p>
    <w:p w14:paraId="33B34256" w14:textId="77777777">
      <w:pPr>
        <w:spacing w:after="0"/>
        <w:jc w:val="both"/>
        <w:rPr>
          <w:rFonts w:ascii="Times New Roman" w:hAnsi="Times New Roman" w:cs="Times New Roman"/>
          <w:i/>
          <w:iCs/>
          <w:sz w:val="24"/>
          <w:szCs w:val="24"/>
          <w:lang w:val="es-PY"/>
        </w:rPr>
      </w:pPr>
    </w:p>
    <w:p w14:paraId="7F04A5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Este valor indica que la corriente de operación del motor es relativamente baja. Aun</w:t>
      </w:r>
    </w:p>
    <w:p w14:paraId="703E915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considerando condiciones de arranque y márgenes de seguridad (entre 1,25 y 1,6 veces la</w:t>
      </w:r>
    </w:p>
    <w:p w14:paraId="2B5A87C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corriente nominal), la corriente de diseño se ubicaría aproximadamente entre 12 A y 16 A.</w:t>
      </w:r>
    </w:p>
    <w:p w14:paraId="4B16C62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este contexto:</w:t>
      </w:r>
    </w:p>
    <w:p w14:paraId="7D334A9F" w14:textId="77777777">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protección especificada en el pliego (50 A) resulta claramente sobredimensionada,</w:t>
      </w:r>
    </w:p>
    <w:p w14:paraId="7502FD64" w14:textId="77777777">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lo cual podría comprometer la sensibilidad frente a sobrecargas.</w:t>
      </w:r>
    </w:p>
    <w:p w14:paraId="6F0CD32A" w14:textId="729BE6BD">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protección propuesta por la empresa (32 A) continúa siendo superior a la</w:t>
      </w:r>
    </w:p>
    <w:p w14:paraId="5A0DECC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necesaria, pero se ubica dentro de un rango técnicamente aceptable, permitiendo</w:t>
      </w:r>
    </w:p>
    <w:p w14:paraId="6340F47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absorber corrientes de arranque y garantizando la operación sin disparos</w:t>
      </w:r>
    </w:p>
    <w:p w14:paraId="4DEE79B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intempestivos.</w:t>
      </w:r>
    </w:p>
    <w:p w14:paraId="50BFC26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Por tanto, a diferencia del criterio inicial, se concluye que la propuesta de la empresa sí se</w:t>
      </w:r>
    </w:p>
    <w:p w14:paraId="67911B3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lastRenderedPageBreak/>
        <w:t>encuentra técnicamente justificada en función de la potencia real del motor, incluso sin</w:t>
      </w:r>
    </w:p>
    <w:p w14:paraId="56208F6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constituir un dimensionamiento crítico.</w:t>
      </w:r>
    </w:p>
    <w:p w14:paraId="10561086" w14:textId="46235FD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Por tanto, la modificación de 3 × 50 A a 3 × 32 A se considera técnicamente aceptable y correctamente orientada, en función de la potencia real del motor (4 kW), aunque se recomienda su respaldo mediante documentación técnica complementaria.</w:t>
      </w:r>
    </w:p>
    <w:p w14:paraId="628122C7" w14:textId="7573E152">
      <w:pPr>
        <w:pStyle w:val="Prrafodelista"/>
        <w:numPr>
          <w:ilvl w:val="1"/>
          <w:numId w:val="14"/>
        </w:numPr>
        <w:spacing w:before="120" w:after="120" w:line="360" w:lineRule="auto"/>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Tablero de sala de máquinas</w:t>
      </w:r>
    </w:p>
    <w:p w14:paraId="0F2014F9" w14:textId="77777777">
      <w:pPr>
        <w:spacing w:before="120" w:after="120"/>
        <w:jc w:val="both"/>
        <w:rPr>
          <w:rFonts w:ascii="Times New Roman" w:hAnsi="Times New Roman" w:cs="Times New Roman"/>
          <w:i/>
          <w:iCs/>
          <w:sz w:val="24"/>
          <w:szCs w:val="24"/>
          <w:lang w:val="es-PY"/>
        </w:rPr>
      </w:pPr>
      <w:r>
        <w:rPr>
          <w:rFonts w:ascii="Times New Roman" w:eastAsia="Times New Roman" w:hAnsi="Times New Roman" w:cs="Times New Roman"/>
          <w:i/>
          <w:iCs/>
          <w:sz w:val="24"/>
          <w:szCs w:val="24"/>
          <w:lang w:val="es-PY" w:eastAsia="es-MX"/>
        </w:rPr>
        <w:t xml:space="preserve">El pliego </w:t>
      </w:r>
      <w:r>
        <w:rPr>
          <w:rFonts w:ascii="Times New Roman" w:hAnsi="Times New Roman" w:cs="Times New Roman"/>
          <w:i/>
          <w:iCs/>
          <w:sz w:val="24"/>
          <w:szCs w:val="24"/>
          <w:lang w:val="es-PY"/>
        </w:rPr>
        <w:t>solicita una llave termomagnética de 3 × 40 A para el tablero de sala de máquinas. La empresa propone instalar una llave de 3 × 25 A, también con fundamento en coordinación con fábrica.</w:t>
      </w:r>
    </w:p>
    <w:p w14:paraId="5CD13E6A" w14:textId="77777777">
      <w:pPr>
        <w:spacing w:before="120" w:after="12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Al igual que en el punto anterior, la reducción de la protección puede ser técnicamente correcta si responde a la corriente real del equipo. Sin embargo, también puede generar disparos intempestivos o una protección inadecuada si no está correctamente calculada.</w:t>
      </w:r>
    </w:p>
    <w:p w14:paraId="62545DEB" w14:textId="2F4534F3">
      <w:pPr>
        <w:spacing w:before="120" w:after="120"/>
        <w:jc w:val="both"/>
        <w:rPr>
          <w:rFonts w:ascii="Times New Roman" w:eastAsia="Times New Roman" w:hAnsi="Times New Roman" w:cs="Times New Roman"/>
          <w:i/>
          <w:iCs/>
          <w:sz w:val="24"/>
          <w:szCs w:val="24"/>
          <w:lang w:val="es-PY" w:eastAsia="es-MX"/>
        </w:rPr>
      </w:pPr>
      <w:r>
        <w:rPr>
          <w:rFonts w:ascii="Times New Roman" w:hAnsi="Times New Roman" w:cs="Times New Roman"/>
          <w:i/>
          <w:iCs/>
          <w:sz w:val="24"/>
          <w:szCs w:val="24"/>
          <w:lang w:val="es-PY"/>
        </w:rPr>
        <w:t>Por ello, la aceptación debe quedar condicionada a la presentación de memoria de cálculo, curvas de protección y documentación</w:t>
      </w:r>
      <w:r>
        <w:rPr>
          <w:rFonts w:ascii="Times New Roman" w:eastAsia="Times New Roman" w:hAnsi="Times New Roman" w:cs="Times New Roman"/>
          <w:i/>
          <w:iCs/>
          <w:sz w:val="24"/>
          <w:szCs w:val="24"/>
          <w:lang w:val="es-PY" w:eastAsia="es-MX"/>
        </w:rPr>
        <w:t xml:space="preserve"> técnica del fabricante, igual al del punto anterior.</w:t>
      </w:r>
    </w:p>
    <w:p w14:paraId="48876996" w14:textId="2A91D8A3">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Se observa que las modificaciones dimensionales se originan principalmente en la diferencia entre las medidas previstas en el pliego y las condiciones reales del ducto existente. Dado que el propio pliego contemplaba la confirmación de medidas mediante replanteo, estas modificaciones pueden considerarse razonables desde el punto de vista técnico.</w:t>
      </w:r>
    </w:p>
    <w:p w14:paraId="0DEA6DDF" w14:textId="77777777">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Sin embargo, las modificaciones eléctricas requieren mayor respaldo documental. La reducción de interruptores termomagnéticos no puede ser aprobada únicamente con una justificación verbal o genérica de la empresa, sino que debe estar acompañada por cálculos y fichas técnicas.</w:t>
      </w:r>
    </w:p>
    <w:p w14:paraId="770AA8D6" w14:textId="004C0EAD">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sz w:val="24"/>
          <w:szCs w:val="24"/>
          <w:lang w:val="es-PY" w:eastAsia="es-PY"/>
        </w:rPr>
        <w:t>El Ing. Electromecánico</w:t>
      </w:r>
      <w:r>
        <w:rPr>
          <w:rFonts w:ascii="Times New Roman" w:hAnsi="Times New Roman" w:cs="Times New Roman"/>
          <w:sz w:val="24"/>
          <w:szCs w:val="24"/>
          <w:lang w:val="es-PY"/>
        </w:rPr>
        <w:t xml:space="preserve"> concluye</w:t>
      </w:r>
      <w:r>
        <w:rPr>
          <w:rFonts w:ascii="Times New Roman" w:hAnsi="Times New Roman" w:cs="Times New Roman"/>
          <w:i/>
          <w:iCs/>
          <w:sz w:val="24"/>
          <w:szCs w:val="24"/>
          <w:lang w:val="es-PY"/>
        </w:rPr>
        <w:t xml:space="preserve"> </w:t>
      </w:r>
      <w:r>
        <w:rPr>
          <w:rFonts w:ascii="Times New Roman" w:eastAsia="Times New Roman" w:hAnsi="Times New Roman" w:cs="Times New Roman"/>
          <w:b/>
          <w:bCs/>
          <w:i/>
          <w:iCs/>
          <w:sz w:val="24"/>
          <w:szCs w:val="24"/>
          <w:lang w:val="es-PY" w:eastAsia="es-MX"/>
        </w:rPr>
        <w:t>que la propuesta presentada por la empresa puede ser aceptada en forma parcial y condicionada.</w:t>
      </w:r>
    </w:p>
    <w:p w14:paraId="6EFC1CA4" w14:textId="77777777">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Se recomienda aceptar las modificaciones referidas a:</w:t>
      </w:r>
    </w:p>
    <w:p w14:paraId="58E3A601"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dimensiones finales del ducto; </w:t>
      </w:r>
    </w:p>
    <w:p w14:paraId="306459E4"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dimensiones de cabina; </w:t>
      </w:r>
    </w:p>
    <w:p w14:paraId="14D95E64"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puerta de 800 mm; </w:t>
      </w:r>
    </w:p>
    <w:p w14:paraId="7206DEA5" w14:textId="77777777">
      <w:pPr>
        <w:numPr>
          <w:ilvl w:val="0"/>
          <w:numId w:val="15"/>
        </w:num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altura de dintel de 2,13 m; </w:t>
      </w:r>
    </w:p>
    <w:p w14:paraId="0C984240" w14:textId="77777777">
      <w:p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siempre que se documenten mediante acta de replanteo, planos finales y conformidad de fiscalización.</w:t>
      </w:r>
    </w:p>
    <w:p w14:paraId="74386702" w14:textId="0A44F620">
      <w:p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No obstante, las modificaciones correspondientes a las protecciones eléctricas de 3 × 50 A a 3 × 32 A y de 3 × 40 A a 3 × 25 A deberán ser aceptadas solamente si la empresa presenta memoria técnica eléctrica, fichas técnicas, corriente nominal del motor, curva de disparo, coordinación de protecciones y verificación de conductores.</w:t>
      </w:r>
    </w:p>
    <w:p w14:paraId="12A2D90F" w14:textId="2C713A67">
      <w:pPr>
        <w:spacing w:before="120" w:after="120" w:line="240" w:lineRule="auto"/>
        <w:jc w:val="both"/>
        <w:rPr>
          <w:rFonts w:ascii="Times New Roman" w:eastAsia="Times New Roman" w:hAnsi="Times New Roman" w:cs="Times New Roman"/>
          <w:b/>
          <w:bCs/>
          <w:i/>
          <w:iCs/>
          <w:sz w:val="24"/>
          <w:szCs w:val="24"/>
          <w:lang w:val="es-PY" w:eastAsia="es-MX"/>
        </w:rPr>
      </w:pPr>
    </w:p>
    <w:p w14:paraId="0EDA5DF5" w14:textId="6A533FFE">
      <w:pPr>
        <w:spacing w:before="120" w:after="120" w:line="240" w:lineRule="auto"/>
        <w:jc w:val="both"/>
        <w:rPr>
          <w:rFonts w:ascii="Times New Roman" w:eastAsia="Times New Roman" w:hAnsi="Times New Roman" w:cs="Times New Roman"/>
          <w:b/>
          <w:bCs/>
          <w:i/>
          <w:iCs/>
          <w:sz w:val="24"/>
          <w:szCs w:val="24"/>
          <w:lang w:val="es-PY" w:eastAsia="es-MX"/>
        </w:rPr>
      </w:pPr>
    </w:p>
    <w:p w14:paraId="16CAD1C3" w14:textId="7DDDDB2F">
      <w:pPr>
        <w:spacing w:before="120" w:after="120" w:line="240" w:lineRule="auto"/>
        <w:jc w:val="both"/>
        <w:rPr>
          <w:rFonts w:ascii="Times New Roman" w:eastAsia="Times New Roman" w:hAnsi="Times New Roman" w:cs="Times New Roman"/>
          <w:b/>
          <w:bCs/>
          <w:i/>
          <w:iCs/>
          <w:sz w:val="24"/>
          <w:szCs w:val="24"/>
          <w:lang w:val="es-PY" w:eastAsia="es-MX"/>
        </w:rPr>
      </w:pPr>
    </w:p>
    <w:p w14:paraId="432EA6DD" w14:textId="77777777">
      <w:pPr>
        <w:spacing w:before="120" w:after="120" w:line="240" w:lineRule="auto"/>
        <w:jc w:val="both"/>
        <w:rPr>
          <w:rFonts w:ascii="Times New Roman" w:eastAsia="Times New Roman" w:hAnsi="Times New Roman" w:cs="Times New Roman"/>
          <w:b/>
          <w:bCs/>
          <w:i/>
          <w:iCs/>
          <w:sz w:val="24"/>
          <w:szCs w:val="24"/>
          <w:lang w:val="es-PY" w:eastAsia="es-MX"/>
        </w:rPr>
      </w:pPr>
    </w:p>
    <w:p w14:paraId="6A7C0231" w14:textId="77777777">
      <w:pPr>
        <w:spacing w:before="120" w:after="120" w:line="240" w:lineRule="auto"/>
        <w:jc w:val="both"/>
        <w:rPr>
          <w:rFonts w:ascii="Times New Roman" w:eastAsia="Times New Roman" w:hAnsi="Times New Roman" w:cs="Times New Roman"/>
          <w:b/>
          <w:bCs/>
          <w:i/>
          <w:iCs/>
          <w:sz w:val="24"/>
          <w:szCs w:val="24"/>
          <w:lang w:val="es-PY" w:eastAsia="es-MX"/>
        </w:rPr>
      </w:pPr>
    </w:p>
    <w:p w14:paraId="5C9507B6" w14:textId="0F59DE3B">
      <w:pPr>
        <w:spacing w:before="120" w:after="120" w:line="360" w:lineRule="auto"/>
        <w:jc w:val="both"/>
        <w:rPr>
          <w:rFonts w:ascii="Times New Roman" w:eastAsia="Times New Roman" w:hAnsi="Times New Roman" w:cs="Times New Roman"/>
          <w:b/>
          <w:bCs/>
          <w:sz w:val="24"/>
          <w:szCs w:val="24"/>
          <w:u w:val="single"/>
          <w:lang w:val="es-PY" w:eastAsia="es-PY"/>
        </w:rPr>
      </w:pPr>
      <w:r>
        <w:rPr>
          <w:rFonts w:ascii="Times New Roman" w:eastAsia="Times New Roman" w:hAnsi="Times New Roman" w:cs="Times New Roman"/>
          <w:b/>
          <w:bCs/>
          <w:sz w:val="24"/>
          <w:szCs w:val="24"/>
          <w:u w:val="single"/>
          <w:lang w:val="es-PY" w:eastAsia="es-PY"/>
        </w:rPr>
        <w:t xml:space="preserve">Fiscal de Obras </w:t>
      </w:r>
    </w:p>
    <w:p w14:paraId="2C579974" w14:textId="7DB62FD3">
      <w:pPr>
        <w:spacing w:before="100" w:beforeAutospacing="1"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lastRenderedPageBreak/>
        <w:t>Se ha procedido a la inspección de la estructura de hormigón armado que conforma la caja de ascensor. A fin de verificar que la propuesta de ajuste que propone la empresa adjudicada [CONTRATISTA ANONIMIZADO]. cumplirá con las disposiciones de la Ley 4934/2013 y la Norma Paraguaya PNA 45 004 10 referentes a la accesibilidad.</w:t>
      </w:r>
    </w:p>
    <w:p w14:paraId="11CF2B59" w14:textId="6AA5D6E9">
      <w:pPr>
        <w:spacing w:before="100" w:beforeAutospacing="1"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Si bien las especificaciones técnicas del Contrato establecen una APERTURA LIBRE de: 950 x 2000 mm. Unilateral de dos hojas. Altura de Dintel: 2,25 m, lo cual no se podrá cumplir debido a las medidas reales relevadas in situ (menores a las solicitadas) según replanteo; la Norma Paraguaya PNA 45 004 10 sugiere una apertura de puerta de 900mm como mínimo, también admite la indicación de que los ascensores deben cumplir con lo dispuesto en la Norma Mercosur NM 313 la cual acepta un ancho mínimo de 800mm como cumplimiento de Accesibilidad Básica</w:t>
      </w:r>
      <w:r>
        <w:rPr>
          <w:rFonts w:ascii="Times New Roman" w:eastAsia="Times New Roman" w:hAnsi="Times New Roman" w:cs="Times New Roman"/>
          <w:i/>
          <w:iCs/>
          <w:sz w:val="24"/>
          <w:szCs w:val="24"/>
          <w:lang w:val="es-PY" w:eastAsia="es-PY"/>
        </w:rPr>
        <w:t xml:space="preserve">. </w:t>
      </w:r>
    </w:p>
    <w:p w14:paraId="5F3E9F8A" w14:textId="7FC2E92F">
      <w:pPr>
        <w:spacing w:before="100" w:beforeAutospacing="1" w:after="0"/>
        <w:rPr>
          <w:rFonts w:ascii="Times New Roman" w:eastAsia="Times New Roman" w:hAnsi="Times New Roman" w:cs="Times New Roman"/>
          <w:sz w:val="24"/>
          <w:szCs w:val="24"/>
          <w:lang w:val="es-PY" w:eastAsia="es-PY"/>
        </w:rPr>
      </w:pPr>
      <w:r>
        <w:rPr>
          <w:rFonts w:ascii="Times New Roman" w:eastAsia="Times New Roman" w:hAnsi="Times New Roman" w:cs="Times New Roman"/>
          <w:i/>
          <w:iCs/>
          <w:sz w:val="24"/>
          <w:szCs w:val="24"/>
          <w:lang w:val="es-PY" w:eastAsia="es-PY"/>
        </w:rPr>
        <w:t xml:space="preserve">De acuerdo a lo comparado con las normativas vigentes, con el ajuste de las dimensiones propuestas, el ascensor podrá cumplir con el criterio de accesibilidad básica.  Se recomienda a la Contratante exigir el cumplimiento de las disposiciones de funcionamiento operativo del mismo, para asegurar el cometido de la Ley </w:t>
      </w:r>
      <w:r>
        <w:rPr>
          <w:rFonts w:ascii="Times New Roman" w:eastAsia="Times New Roman" w:hAnsi="Times New Roman" w:cs="Times New Roman"/>
          <w:i/>
          <w:iCs/>
          <w:sz w:val="24"/>
          <w:szCs w:val="24"/>
          <w:lang w:val="es-PY" w:eastAsia="es-PY"/>
        </w:rPr>
        <w:t>N.º</w:t>
      </w:r>
      <w:r>
        <w:rPr>
          <w:rFonts w:ascii="Times New Roman" w:eastAsia="Times New Roman" w:hAnsi="Times New Roman" w:cs="Times New Roman"/>
          <w:i/>
          <w:iCs/>
          <w:sz w:val="24"/>
          <w:szCs w:val="24"/>
          <w:lang w:val="es-PY" w:eastAsia="es-PY"/>
        </w:rPr>
        <w:t xml:space="preserve"> 4.934/2013 y Norma Paraguaya PNA 45 004 10 de accesibilidad al medio físico.</w:t>
      </w:r>
    </w:p>
    <w:p w14:paraId="2F799651" w14:textId="08961DA0">
      <w:pPr>
        <w:spacing w:before="100" w:beforeAutospacing="1" w:after="100" w:afterAutospacing="1"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Por lo expuesto</w:t>
      </w:r>
    </w:p>
    <w:p w14:paraId="6B468D00" w14:textId="7B6567BB">
      <w:pPr>
        <w:pStyle w:val="NormalWeb"/>
        <w:spacing w:line="360" w:lineRule="auto"/>
        <w:jc w:val="both"/>
      </w:pPr>
      <w:r>
        <w:t xml:space="preserve">Teniendo en cuenta los criterios técnicos </w:t>
      </w:r>
      <w:r>
        <w:t>emitidos</w:t>
      </w:r>
      <w:r>
        <w:t xml:space="preserve"> por el </w:t>
      </w:r>
      <w:r>
        <w:t>profesional</w:t>
      </w:r>
      <w:r>
        <w:t xml:space="preserve"> del área</w:t>
      </w:r>
      <w:r>
        <w:t xml:space="preserve"> en donde recomienda </w:t>
      </w:r>
      <w:r>
        <w:rPr>
          <w:bCs/>
          <w:lang w:eastAsia="es-MX"/>
        </w:rPr>
        <w:t>aceptar la propuesta de la empresa [CONTRATISTA ANONIMIZADO]. en forma condicionada</w:t>
      </w:r>
      <w:r>
        <w:rPr>
          <w:lang w:eastAsia="es-MX"/>
        </w:rPr>
        <w:t>, por encontrarse técnicamente justificada en los aspectos dimensionales y mecánicos, pero sujeta a la presentación y aprobación de la documentación eléctrica complementaria correspondiente</w:t>
      </w:r>
      <w:r>
        <w:t xml:space="preserve"> </w:t>
      </w:r>
      <w:r>
        <w:t>y la Fiscal de Obras</w:t>
      </w:r>
      <w:r>
        <w:t xml:space="preserve"> recomienda a la Contratante exigir el cumplimiento de las disposiciones de funcionamiento operativo del mismo, para asegurar el cometido de la Ley </w:t>
      </w:r>
      <w:r>
        <w:t>N.º</w:t>
      </w:r>
      <w:r>
        <w:t xml:space="preserve"> 4.934/2013 y Norma Paraguaya PNA 45 004 10 de accesibilidad al medio físico</w:t>
      </w:r>
      <w:r>
        <w:t>;</w:t>
      </w:r>
      <w:r>
        <w:t xml:space="preserve"> </w:t>
      </w:r>
      <w:r>
        <w:t>e</w:t>
      </w:r>
      <w:r>
        <w:t xml:space="preserve">n mi carácter de Administradora del Contrato </w:t>
      </w:r>
      <w:r>
        <w:t>elevo el presente dictamen a</w:t>
      </w:r>
      <w:r>
        <w:t>l</w:t>
      </w:r>
      <w:r>
        <w:t xml:space="preserve"> </w:t>
      </w:r>
      <w:r>
        <w:t>[AUTORIDAD INSTITUCIONAL ANONIMIZADA]</w:t>
      </w:r>
      <w:r>
        <w:t xml:space="preserve"/>
      </w:r>
      <w:r>
        <w:t xml:space="preserve"/>
      </w:r>
      <w:r>
        <w:t xml:space="preserve"/>
      </w:r>
      <w:r>
        <w:t xml:space="preserve"> </w:t>
      </w:r>
      <w:r>
        <w:t>para los fines que estime pertinente</w:t>
      </w:r>
      <w:r>
        <w:t>s</w:t>
      </w:r>
      <w:r>
        <w:t xml:space="preserve">, respecto a la eventual </w:t>
      </w:r>
      <w:r>
        <w:t>gestión</w:t>
      </w:r>
      <w:r>
        <w:t xml:space="preserve"> del procedimiento para la formalización del convenio modificatorio de las especificaciones técnicas solicitadas por la empresa</w:t>
      </w:r>
      <w:r>
        <w:t xml:space="preserve"> [CONTRATISTA ANONIMIZADO].</w:t>
      </w:r>
      <w:r>
        <w:t xml:space="preserve"> </w:t>
      </w:r>
      <w:r>
        <w:t>Se d</w:t>
      </w:r>
      <w:r>
        <w:t>eja</w:t>
      </w:r>
      <w:r>
        <w:t xml:space="preserve"> </w:t>
      </w:r>
      <w:r>
        <w:t>constancia de que la presente</w:t>
      </w:r>
      <w:r>
        <w:t xml:space="preserve"> remisión </w:t>
      </w:r>
      <w:r>
        <w:t xml:space="preserve">se realiza </w:t>
      </w:r>
      <w:r>
        <w:t>con</w:t>
      </w:r>
      <w:r>
        <w:t xml:space="preserve"> base a los informes técnicos mencionados</w:t>
      </w:r>
      <w:r>
        <w:t xml:space="preserve"> precedentemente</w:t>
      </w:r>
      <w:r>
        <w:t>, sin que implique pronunciamiento técnico propio sobre la procedencia de lo solicitado</w:t>
      </w:r>
      <w:r>
        <w:t>.</w:t>
      </w:r>
    </w:p>
    <w:p w14:paraId="16026E88" w14:textId="77777777">
      <w:pPr>
        <w:spacing w:after="0" w:line="360" w:lineRule="auto"/>
        <w:ind w:left="5760"/>
        <w:rPr>
          <w:rFonts w:ascii="Times New Roman" w:hAnsi="Times New Roman" w:cs="Times New Roman"/>
          <w:sz w:val="24"/>
          <w:szCs w:val="24"/>
          <w:lang w:val="es-PY"/>
        </w:rPr>
      </w:pPr>
    </w:p>
    <w:p w14:paraId="775EEADA" w14:textId="19B87685">
      <w:pPr>
        <w:spacing w:after="0" w:line="360" w:lineRule="auto"/>
        <w:ind w:left="5760"/>
        <w:rPr>
          <w:rFonts w:ascii="Times New Roman" w:hAnsi="Times New Roman" w:cs="Times New Roman"/>
          <w:sz w:val="24"/>
          <w:szCs w:val="24"/>
          <w:lang w:val="es-PY"/>
        </w:rPr>
      </w:pPr>
      <w:r>
        <w:rPr>
          <w:rFonts w:ascii="Times New Roman" w:hAnsi="Times New Roman" w:cs="Times New Roman"/>
          <w:sz w:val="24"/>
          <w:szCs w:val="24"/>
          <w:lang w:val="es-PY"/>
        </w:rPr>
        <w:t>_________________________</w:t>
      </w:r>
    </w:p>
    <w:p w14:paraId="0F64A7DB" w14:textId="5CCE7866">
      <w:pPr>
        <w:spacing w:after="0" w:line="360" w:lineRule="auto"/>
        <w:ind w:left="5760" w:firstLine="720"/>
        <w:rPr>
          <w:rFonts w:ascii="Times New Roman" w:hAnsi="Times New Roman" w:cs="Times New Roman"/>
          <w:sz w:val="24"/>
          <w:szCs w:val="24"/>
          <w:lang w:val="es-PY"/>
        </w:rPr>
      </w:pPr>
      <w:r>
        <w:rPr>
          <w:rFonts w:ascii="Times New Roman" w:hAnsi="Times New Roman" w:cs="Times New Roman"/>
          <w:sz w:val="24"/>
          <w:szCs w:val="24"/>
          <w:lang w:val="es-PY"/>
        </w:rPr>
        <w:t>[NOMBRE OMITIDO]</w:t>
      </w:r>
    </w:p>
    <w:p w14:paraId="23883D60" w14:textId="0D618B59">
      <w:pPr>
        <w:spacing w:after="0" w:line="360" w:lineRule="auto"/>
        <w:ind w:left="5040"/>
        <w:rPr>
          <w:rFonts w:ascii="Times New Roman" w:hAnsi="Times New Roman" w:cs="Times New Roman"/>
          <w:sz w:val="24"/>
          <w:szCs w:val="24"/>
          <w:lang w:val="es-PY"/>
        </w:rPr>
      </w:pPr>
      <w:r>
        <w:rPr>
          <w:rFonts w:ascii="Times New Roman" w:hAnsi="Times New Roman" w:cs="Times New Roman"/>
          <w:sz w:val="24"/>
          <w:szCs w:val="24"/>
          <w:lang w:val="es-PY"/>
        </w:rPr>
        <w:t xml:space="preserve">    </w:t>
      </w:r>
      <w:r>
        <w:rPr>
          <w:rFonts w:ascii="Times New Roman" w:hAnsi="Times New Roman" w:cs="Times New Roman"/>
          <w:sz w:val="24"/>
          <w:szCs w:val="24"/>
          <w:lang w:val="es-PY"/>
        </w:rPr>
        <w:t xml:space="preserve">Técnico- Administradora de Contratos </w:t>
      </w:r>
    </w:p>
    <w:p w14:paraId="414AB355" w14:textId="3CA743EC">
      <w:pPr>
        <w:spacing w:after="0" w:line="360" w:lineRule="auto"/>
        <w:ind w:left="5760"/>
        <w:rPr>
          <w:rFonts w:ascii="Times New Roman" w:hAnsi="Times New Roman" w:cs="Times New Roman"/>
          <w:sz w:val="24"/>
          <w:szCs w:val="24"/>
          <w:lang w:val="es-PY"/>
        </w:rPr>
      </w:pPr>
    </w:p>
    <w:p w14:paraId="082CC880" w14:textId="2B11A179">
      <w:pPr>
        <w:spacing w:line="360" w:lineRule="auto"/>
        <w:rPr>
          <w:rFonts w:ascii="Times New Roman" w:hAnsi="Times New Roman" w:cs="Times New Roman"/>
          <w:sz w:val="24"/>
          <w:szCs w:val="24"/>
          <w:lang w:val="es-PY"/>
        </w:rPr>
      </w:pPr>
    </w:p>
    <w:sectPr>
      <w:headerReference w:type="default" r:id="rId8"/>
      <w:footerReference w:type="default" r:id="rId9"/>
      <w:pgSz w:w="12240" w:h="18720" w:code="4632"/>
      <w:pgMar w:top="1907" w:right="1183"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A4956" w14:textId="77777777">
      <w:pPr>
        <w:spacing w:after="0" w:line="240" w:lineRule="auto"/>
      </w:pPr>
      <w:r>
        <w:separator/>
      </w:r>
    </w:p>
  </w:endnote>
  <w:endnote w:type="continuationSeparator" w:id="0">
    <w:p w14:paraId="32814F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DC31D" w14:textId="77777777">
    <w:pPr>
      <w:jc w:val="center"/>
      <w:rPr>
        <w:lang w:val="es-PY"/>
      </w:rPr>
    </w:pPr>
    <w:r>
      <w:rPr>
        <w:rFonts w:ascii="Arial Narrow" w:hAnsi="Arial Narrow"/>
        <w:b/>
        <w:sz w:val="18"/>
        <w:szCs w:val="23"/>
        <w:lang w:val="es-PY"/>
      </w:rPr>
      <w:t/>
    </w:r>
    <w:r>
      <w:rPr>
        <w:rFonts w:ascii="Arial Narrow" w:hAnsi="Arial Narrow"/>
        <w:sz w:val="18"/>
        <w:szCs w:val="23"/>
        <w:lang w:val="es-PY"/>
      </w:rPr>
      <w:t xml:space="preserve"/>
    </w:r>
    <w:r>
      <w:rPr>
        <w:rFonts w:ascii="Arial Narrow" w:hAnsi="Arial Narrow"/>
        <w:i/>
        <w:sz w:val="18"/>
        <w:szCs w:val="23"/>
        <w:lang w:val="es-PY"/>
      </w:rPr>
      <w:t/>
    </w:r>
  </w:p>
  <w:p w14:paraId="11C2FC57" w14:textId="77777777">
    <w:pPr>
      <w:pStyle w:val="Piedepgina"/>
      <w:rPr>
        <w:lang w:val="es-PY"/>
      </w:rPr>
    </w:pPr>
    <w:r>
      <w:rPr>
        <w:noProof/>
      </w:rPr>
      <mc:AlternateContent>
        <mc:Choice Requires="wps"/>
        <mc:Fallback/>
      </mc:AlternateContent>
    </w:r>
  </w:p>
  <w:p w14:paraId="41535C31" w14:textId="77777777">
    <w:pPr>
      <w:pStyle w:val="Piedepgina"/>
      <w:rPr>
        <w:lang w:val="es-P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A07F0" w14:textId="77777777">
      <w:pPr>
        <w:spacing w:after="0" w:line="240" w:lineRule="auto"/>
      </w:pPr>
      <w:r>
        <w:separator/>
      </w:r>
    </w:p>
  </w:footnote>
  <w:footnote w:type="continuationSeparator" w:id="0">
    <w:p w14:paraId="2EEEAB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A907" w14:textId="77777777">
    <w:pPr>
      <w:pStyle w:val="Encabezado"/>
      <w:ind w:hanging="2"/>
      <w:jc w:val="center"/>
      <w:rPr>
        <w:b/>
        <w:sz w:val="28"/>
        <w:szCs w:val="28"/>
      </w:rPr>
    </w:pPr>
    <w:r>
      <w:rPr>
        <w:noProof/>
      </w:rPr>
      <mc:AlternateContent>
        <mc:Choice Requires="wps"/>
        <mc:Fallback/>
      </mc:AlternateContent>
    </w:r>
    <w:r>
      <w:rPr>
        <w:noProof/>
      </w:rPr>
      <mc:AlternateContent>
        <mc:Choice Requires="wps"/>
        <mc:Fallback/>
      </mc:AlternateContent>
    </w:r>
    <w:r>
      <w:rPr>
        <w:noProof/>
      </w:rPr>
    </w:r>
    <w:r>
      <w:rPr>
        <w:b/>
        <w:sz w:val="28"/>
        <w:szCs w:val="28"/>
      </w:rPr>
      <w:t xml:space="preserve"> </w:t>
    </w:r>
  </w:p>
  <w:p w14:paraId="6A40B27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9E6E4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CA3235"/>
    <w:multiLevelType w:val="hybridMultilevel"/>
    <w:tmpl w:val="902EB09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57714999"/>
    <w:multiLevelType w:val="multilevel"/>
    <w:tmpl w:val="85E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646FC"/>
    <w:multiLevelType w:val="multilevel"/>
    <w:tmpl w:val="DD7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E0E3A"/>
    <w:multiLevelType w:val="hybridMultilevel"/>
    <w:tmpl w:val="F4FC224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9975819"/>
    <w:multiLevelType w:val="multilevel"/>
    <w:tmpl w:val="1346D09A"/>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9"/>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BB"/>
    <w:rsid w:val="00014DA9"/>
    <w:rsid w:val="0001567C"/>
    <w:rsid w:val="00024D80"/>
    <w:rsid w:val="00034616"/>
    <w:rsid w:val="0006063C"/>
    <w:rsid w:val="0006535D"/>
    <w:rsid w:val="000717F1"/>
    <w:rsid w:val="00075BC1"/>
    <w:rsid w:val="000856A5"/>
    <w:rsid w:val="00087675"/>
    <w:rsid w:val="00090CD4"/>
    <w:rsid w:val="000A4344"/>
    <w:rsid w:val="000B3525"/>
    <w:rsid w:val="000C0856"/>
    <w:rsid w:val="000D1EFE"/>
    <w:rsid w:val="000D53F6"/>
    <w:rsid w:val="000D5F1D"/>
    <w:rsid w:val="000D7F63"/>
    <w:rsid w:val="000E5F1D"/>
    <w:rsid w:val="00102ED0"/>
    <w:rsid w:val="001219D8"/>
    <w:rsid w:val="00123401"/>
    <w:rsid w:val="0014547C"/>
    <w:rsid w:val="0014664B"/>
    <w:rsid w:val="0015074B"/>
    <w:rsid w:val="001513AD"/>
    <w:rsid w:val="00154CE0"/>
    <w:rsid w:val="001814DC"/>
    <w:rsid w:val="001963C6"/>
    <w:rsid w:val="001A260B"/>
    <w:rsid w:val="001C1E6B"/>
    <w:rsid w:val="001C523F"/>
    <w:rsid w:val="001D4C2B"/>
    <w:rsid w:val="001E076B"/>
    <w:rsid w:val="001F42F9"/>
    <w:rsid w:val="002044FD"/>
    <w:rsid w:val="00236FEA"/>
    <w:rsid w:val="00245378"/>
    <w:rsid w:val="002455FB"/>
    <w:rsid w:val="00255030"/>
    <w:rsid w:val="00267DB0"/>
    <w:rsid w:val="00273DB6"/>
    <w:rsid w:val="002831F1"/>
    <w:rsid w:val="00294267"/>
    <w:rsid w:val="0029639D"/>
    <w:rsid w:val="002A0AA4"/>
    <w:rsid w:val="002A197B"/>
    <w:rsid w:val="002A2E67"/>
    <w:rsid w:val="002A58DE"/>
    <w:rsid w:val="002B2BE3"/>
    <w:rsid w:val="002D45FB"/>
    <w:rsid w:val="002D561A"/>
    <w:rsid w:val="002E5C14"/>
    <w:rsid w:val="002F128D"/>
    <w:rsid w:val="003117EC"/>
    <w:rsid w:val="00326F90"/>
    <w:rsid w:val="003373C1"/>
    <w:rsid w:val="00337982"/>
    <w:rsid w:val="003414FE"/>
    <w:rsid w:val="003470E9"/>
    <w:rsid w:val="00370883"/>
    <w:rsid w:val="00383215"/>
    <w:rsid w:val="00383462"/>
    <w:rsid w:val="00383A79"/>
    <w:rsid w:val="0038631E"/>
    <w:rsid w:val="003A2F71"/>
    <w:rsid w:val="003D0400"/>
    <w:rsid w:val="003D21F7"/>
    <w:rsid w:val="003D304F"/>
    <w:rsid w:val="00411AF2"/>
    <w:rsid w:val="00422890"/>
    <w:rsid w:val="00422F58"/>
    <w:rsid w:val="00423094"/>
    <w:rsid w:val="00425662"/>
    <w:rsid w:val="00437CB4"/>
    <w:rsid w:val="00437EA6"/>
    <w:rsid w:val="00441028"/>
    <w:rsid w:val="00445336"/>
    <w:rsid w:val="00456DD0"/>
    <w:rsid w:val="00460111"/>
    <w:rsid w:val="00481C59"/>
    <w:rsid w:val="004A0E3D"/>
    <w:rsid w:val="004A155E"/>
    <w:rsid w:val="004A4CF5"/>
    <w:rsid w:val="004A6D7C"/>
    <w:rsid w:val="004B4378"/>
    <w:rsid w:val="004B570A"/>
    <w:rsid w:val="004E1DC8"/>
    <w:rsid w:val="004F5582"/>
    <w:rsid w:val="00517EAA"/>
    <w:rsid w:val="00523311"/>
    <w:rsid w:val="0053030C"/>
    <w:rsid w:val="00530550"/>
    <w:rsid w:val="00552677"/>
    <w:rsid w:val="00556E23"/>
    <w:rsid w:val="005663D5"/>
    <w:rsid w:val="005843DF"/>
    <w:rsid w:val="00593363"/>
    <w:rsid w:val="005E02B2"/>
    <w:rsid w:val="005E7384"/>
    <w:rsid w:val="005F68D1"/>
    <w:rsid w:val="00601A59"/>
    <w:rsid w:val="00606581"/>
    <w:rsid w:val="006075DF"/>
    <w:rsid w:val="00612F0C"/>
    <w:rsid w:val="006176C5"/>
    <w:rsid w:val="00623D20"/>
    <w:rsid w:val="00636515"/>
    <w:rsid w:val="00642EBF"/>
    <w:rsid w:val="00663656"/>
    <w:rsid w:val="006672CA"/>
    <w:rsid w:val="00671EFE"/>
    <w:rsid w:val="006804EF"/>
    <w:rsid w:val="006A1AF3"/>
    <w:rsid w:val="006A5AF0"/>
    <w:rsid w:val="006C089C"/>
    <w:rsid w:val="006D22CE"/>
    <w:rsid w:val="006E1973"/>
    <w:rsid w:val="0070640D"/>
    <w:rsid w:val="0071502C"/>
    <w:rsid w:val="00720724"/>
    <w:rsid w:val="007257D6"/>
    <w:rsid w:val="00736C0F"/>
    <w:rsid w:val="00745149"/>
    <w:rsid w:val="00753B2A"/>
    <w:rsid w:val="007556ED"/>
    <w:rsid w:val="00794033"/>
    <w:rsid w:val="00795B1F"/>
    <w:rsid w:val="00796B84"/>
    <w:rsid w:val="007B59DB"/>
    <w:rsid w:val="007C04B5"/>
    <w:rsid w:val="007E5A16"/>
    <w:rsid w:val="007E7ED5"/>
    <w:rsid w:val="007E7FB0"/>
    <w:rsid w:val="007F5E14"/>
    <w:rsid w:val="008101DA"/>
    <w:rsid w:val="008209D1"/>
    <w:rsid w:val="00825074"/>
    <w:rsid w:val="008366F9"/>
    <w:rsid w:val="0084340A"/>
    <w:rsid w:val="008569F8"/>
    <w:rsid w:val="00856E72"/>
    <w:rsid w:val="00861E9E"/>
    <w:rsid w:val="008947BC"/>
    <w:rsid w:val="008A10B5"/>
    <w:rsid w:val="008B5F44"/>
    <w:rsid w:val="008B7CC7"/>
    <w:rsid w:val="008F6B82"/>
    <w:rsid w:val="00904AE5"/>
    <w:rsid w:val="00922A83"/>
    <w:rsid w:val="00925167"/>
    <w:rsid w:val="00927700"/>
    <w:rsid w:val="00954FAA"/>
    <w:rsid w:val="0099421F"/>
    <w:rsid w:val="0099440F"/>
    <w:rsid w:val="00997C14"/>
    <w:rsid w:val="009C07A3"/>
    <w:rsid w:val="009C10F3"/>
    <w:rsid w:val="009C4553"/>
    <w:rsid w:val="009C594B"/>
    <w:rsid w:val="009C7B2F"/>
    <w:rsid w:val="009F1FBA"/>
    <w:rsid w:val="00A047FB"/>
    <w:rsid w:val="00A135AC"/>
    <w:rsid w:val="00A16033"/>
    <w:rsid w:val="00A51F52"/>
    <w:rsid w:val="00A607F8"/>
    <w:rsid w:val="00A60EDE"/>
    <w:rsid w:val="00A67BEC"/>
    <w:rsid w:val="00A70EBB"/>
    <w:rsid w:val="00A76FA3"/>
    <w:rsid w:val="00AA1D8D"/>
    <w:rsid w:val="00AB0B25"/>
    <w:rsid w:val="00AC75BB"/>
    <w:rsid w:val="00AD54D7"/>
    <w:rsid w:val="00AE7742"/>
    <w:rsid w:val="00AF1052"/>
    <w:rsid w:val="00AF5E88"/>
    <w:rsid w:val="00AF6D2B"/>
    <w:rsid w:val="00B059CB"/>
    <w:rsid w:val="00B14D43"/>
    <w:rsid w:val="00B33893"/>
    <w:rsid w:val="00B349CE"/>
    <w:rsid w:val="00B369D5"/>
    <w:rsid w:val="00B47730"/>
    <w:rsid w:val="00B73655"/>
    <w:rsid w:val="00B752D7"/>
    <w:rsid w:val="00B7592B"/>
    <w:rsid w:val="00B83793"/>
    <w:rsid w:val="00B872CB"/>
    <w:rsid w:val="00B87882"/>
    <w:rsid w:val="00B9589C"/>
    <w:rsid w:val="00BA5F05"/>
    <w:rsid w:val="00BB5854"/>
    <w:rsid w:val="00BC3CAB"/>
    <w:rsid w:val="00BD1475"/>
    <w:rsid w:val="00BD1F3D"/>
    <w:rsid w:val="00BE4DCC"/>
    <w:rsid w:val="00BE64A0"/>
    <w:rsid w:val="00BF418E"/>
    <w:rsid w:val="00BF67B7"/>
    <w:rsid w:val="00C1312B"/>
    <w:rsid w:val="00C2723B"/>
    <w:rsid w:val="00C307A7"/>
    <w:rsid w:val="00C331B9"/>
    <w:rsid w:val="00C44096"/>
    <w:rsid w:val="00C4478A"/>
    <w:rsid w:val="00C757F6"/>
    <w:rsid w:val="00CA5654"/>
    <w:rsid w:val="00CB0664"/>
    <w:rsid w:val="00CB14E8"/>
    <w:rsid w:val="00CC2FDA"/>
    <w:rsid w:val="00CC6CA8"/>
    <w:rsid w:val="00CD508A"/>
    <w:rsid w:val="00CE741E"/>
    <w:rsid w:val="00CF38CB"/>
    <w:rsid w:val="00D1062B"/>
    <w:rsid w:val="00D11CC6"/>
    <w:rsid w:val="00D2336B"/>
    <w:rsid w:val="00D306F1"/>
    <w:rsid w:val="00D46BFA"/>
    <w:rsid w:val="00D56907"/>
    <w:rsid w:val="00D6680A"/>
    <w:rsid w:val="00D67F82"/>
    <w:rsid w:val="00D7122D"/>
    <w:rsid w:val="00D72D55"/>
    <w:rsid w:val="00D75284"/>
    <w:rsid w:val="00D9018A"/>
    <w:rsid w:val="00D95F1B"/>
    <w:rsid w:val="00DC4BF5"/>
    <w:rsid w:val="00DD1B1E"/>
    <w:rsid w:val="00DE42A8"/>
    <w:rsid w:val="00E0464F"/>
    <w:rsid w:val="00E06CEF"/>
    <w:rsid w:val="00E14C32"/>
    <w:rsid w:val="00E335D1"/>
    <w:rsid w:val="00E3433C"/>
    <w:rsid w:val="00E37909"/>
    <w:rsid w:val="00E415C2"/>
    <w:rsid w:val="00E42969"/>
    <w:rsid w:val="00E526C8"/>
    <w:rsid w:val="00E60A1F"/>
    <w:rsid w:val="00E75AFE"/>
    <w:rsid w:val="00E76B61"/>
    <w:rsid w:val="00E80274"/>
    <w:rsid w:val="00E86192"/>
    <w:rsid w:val="00E91702"/>
    <w:rsid w:val="00EB70A0"/>
    <w:rsid w:val="00EC5BE6"/>
    <w:rsid w:val="00ED5884"/>
    <w:rsid w:val="00F119E4"/>
    <w:rsid w:val="00F22140"/>
    <w:rsid w:val="00F35568"/>
    <w:rsid w:val="00F35958"/>
    <w:rsid w:val="00F37A8F"/>
    <w:rsid w:val="00F55519"/>
    <w:rsid w:val="00F90ADC"/>
    <w:rsid w:val="00F91D79"/>
    <w:rsid w:val="00F96DC5"/>
    <w:rsid w:val="00FC693F"/>
    <w:rsid w:val="00FD75D0"/>
    <w:rsid w:val="00FD7CA4"/>
    <w:rsid w:val="00FE0AD7"/>
    <w:rsid w:val="00FE67F0"/>
    <w:rsid w:val="00FE6D00"/>
    <w:rsid w:val="00FE7AD3"/>
    <w:rsid w:val="00FF0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5253F32"/>
  <w14:defaultImageDpi w14:val="300"/>
  <w15:docId w15:val="{6C94D919-B71B-4176-BB3C-35594DD7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1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36FEA"/>
    <w:pPr>
      <w:widowControl w:val="0"/>
      <w:autoSpaceDE w:val="0"/>
      <w:autoSpaceDN w:val="0"/>
      <w:spacing w:after="0" w:line="240" w:lineRule="auto"/>
    </w:pPr>
    <w:rPr>
      <w:rFonts w:ascii="Carlito" w:eastAsia="Carlito" w:hAnsi="Carlito" w:cs="Carlito"/>
      <w:lang w:val="es-ES"/>
    </w:rPr>
  </w:style>
  <w:style w:type="table" w:customStyle="1" w:styleId="TableNormal">
    <w:name w:val="Table Normal"/>
    <w:uiPriority w:val="2"/>
    <w:semiHidden/>
    <w:qFormat/>
    <w:rsid w:val="00236FEA"/>
    <w:pPr>
      <w:widowControl w:val="0"/>
      <w:autoSpaceDE w:val="0"/>
      <w:autoSpaceDN w:val="0"/>
      <w:spacing w:after="0" w:line="240" w:lineRule="auto"/>
    </w:pPr>
    <w:rPr>
      <w:rFonts w:eastAsiaTheme="minorHAnsi"/>
    </w:rPr>
    <w:tblPr>
      <w:tblCellMar>
        <w:top w:w="0" w:type="dxa"/>
        <w:left w:w="0" w:type="dxa"/>
        <w:bottom w:w="0" w:type="dxa"/>
        <w:right w:w="0" w:type="dxa"/>
      </w:tblCellMar>
    </w:tblPr>
  </w:style>
  <w:style w:type="paragraph" w:styleId="NormalWeb">
    <w:name w:val="Normal (Web)"/>
    <w:basedOn w:val="Normal"/>
    <w:uiPriority w:val="99"/>
    <w:unhideWhenUsed/>
    <w:rsid w:val="00D67F82"/>
    <w:pPr>
      <w:spacing w:before="100" w:beforeAutospacing="1" w:after="100" w:afterAutospacing="1" w:line="240" w:lineRule="auto"/>
    </w:pPr>
    <w:rPr>
      <w:rFonts w:ascii="Times New Roman" w:eastAsia="Times New Roman" w:hAnsi="Times New Roman" w:cs="Times New Roman"/>
      <w:sz w:val="24"/>
      <w:szCs w:val="24"/>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2919">
      <w:bodyDiv w:val="1"/>
      <w:marLeft w:val="0"/>
      <w:marRight w:val="0"/>
      <w:marTop w:val="0"/>
      <w:marBottom w:val="0"/>
      <w:divBdr>
        <w:top w:val="none" w:sz="0" w:space="0" w:color="auto"/>
        <w:left w:val="none" w:sz="0" w:space="0" w:color="auto"/>
        <w:bottom w:val="none" w:sz="0" w:space="0" w:color="auto"/>
        <w:right w:val="none" w:sz="0" w:space="0" w:color="auto"/>
      </w:divBdr>
    </w:div>
    <w:div w:id="79567132">
      <w:bodyDiv w:val="1"/>
      <w:marLeft w:val="0"/>
      <w:marRight w:val="0"/>
      <w:marTop w:val="0"/>
      <w:marBottom w:val="0"/>
      <w:divBdr>
        <w:top w:val="none" w:sz="0" w:space="0" w:color="auto"/>
        <w:left w:val="none" w:sz="0" w:space="0" w:color="auto"/>
        <w:bottom w:val="none" w:sz="0" w:space="0" w:color="auto"/>
        <w:right w:val="none" w:sz="0" w:space="0" w:color="auto"/>
      </w:divBdr>
    </w:div>
    <w:div w:id="112675229">
      <w:bodyDiv w:val="1"/>
      <w:marLeft w:val="0"/>
      <w:marRight w:val="0"/>
      <w:marTop w:val="0"/>
      <w:marBottom w:val="0"/>
      <w:divBdr>
        <w:top w:val="none" w:sz="0" w:space="0" w:color="auto"/>
        <w:left w:val="none" w:sz="0" w:space="0" w:color="auto"/>
        <w:bottom w:val="none" w:sz="0" w:space="0" w:color="auto"/>
        <w:right w:val="none" w:sz="0" w:space="0" w:color="auto"/>
      </w:divBdr>
    </w:div>
    <w:div w:id="259292854">
      <w:bodyDiv w:val="1"/>
      <w:marLeft w:val="0"/>
      <w:marRight w:val="0"/>
      <w:marTop w:val="0"/>
      <w:marBottom w:val="0"/>
      <w:divBdr>
        <w:top w:val="none" w:sz="0" w:space="0" w:color="auto"/>
        <w:left w:val="none" w:sz="0" w:space="0" w:color="auto"/>
        <w:bottom w:val="none" w:sz="0" w:space="0" w:color="auto"/>
        <w:right w:val="none" w:sz="0" w:space="0" w:color="auto"/>
      </w:divBdr>
    </w:div>
    <w:div w:id="476603887">
      <w:bodyDiv w:val="1"/>
      <w:marLeft w:val="0"/>
      <w:marRight w:val="0"/>
      <w:marTop w:val="0"/>
      <w:marBottom w:val="0"/>
      <w:divBdr>
        <w:top w:val="none" w:sz="0" w:space="0" w:color="auto"/>
        <w:left w:val="none" w:sz="0" w:space="0" w:color="auto"/>
        <w:bottom w:val="none" w:sz="0" w:space="0" w:color="auto"/>
        <w:right w:val="none" w:sz="0" w:space="0" w:color="auto"/>
      </w:divBdr>
    </w:div>
    <w:div w:id="523638234">
      <w:bodyDiv w:val="1"/>
      <w:marLeft w:val="0"/>
      <w:marRight w:val="0"/>
      <w:marTop w:val="0"/>
      <w:marBottom w:val="0"/>
      <w:divBdr>
        <w:top w:val="none" w:sz="0" w:space="0" w:color="auto"/>
        <w:left w:val="none" w:sz="0" w:space="0" w:color="auto"/>
        <w:bottom w:val="none" w:sz="0" w:space="0" w:color="auto"/>
        <w:right w:val="none" w:sz="0" w:space="0" w:color="auto"/>
      </w:divBdr>
    </w:div>
    <w:div w:id="538276607">
      <w:bodyDiv w:val="1"/>
      <w:marLeft w:val="0"/>
      <w:marRight w:val="0"/>
      <w:marTop w:val="0"/>
      <w:marBottom w:val="0"/>
      <w:divBdr>
        <w:top w:val="none" w:sz="0" w:space="0" w:color="auto"/>
        <w:left w:val="none" w:sz="0" w:space="0" w:color="auto"/>
        <w:bottom w:val="none" w:sz="0" w:space="0" w:color="auto"/>
        <w:right w:val="none" w:sz="0" w:space="0" w:color="auto"/>
      </w:divBdr>
    </w:div>
    <w:div w:id="1571891258">
      <w:bodyDiv w:val="1"/>
      <w:marLeft w:val="0"/>
      <w:marRight w:val="0"/>
      <w:marTop w:val="0"/>
      <w:marBottom w:val="0"/>
      <w:divBdr>
        <w:top w:val="none" w:sz="0" w:space="0" w:color="auto"/>
        <w:left w:val="none" w:sz="0" w:space="0" w:color="auto"/>
        <w:bottom w:val="none" w:sz="0" w:space="0" w:color="auto"/>
        <w:right w:val="none" w:sz="0" w:space="0" w:color="auto"/>
      </w:divBdr>
    </w:div>
    <w:div w:id="1699964653">
      <w:bodyDiv w:val="1"/>
      <w:marLeft w:val="0"/>
      <w:marRight w:val="0"/>
      <w:marTop w:val="0"/>
      <w:marBottom w:val="0"/>
      <w:divBdr>
        <w:top w:val="none" w:sz="0" w:space="0" w:color="auto"/>
        <w:left w:val="none" w:sz="0" w:space="0" w:color="auto"/>
        <w:bottom w:val="none" w:sz="0" w:space="0" w:color="auto"/>
        <w:right w:val="none" w:sz="0" w:space="0" w:color="auto"/>
      </w:divBdr>
    </w:div>
    <w:div w:id="1706712010">
      <w:bodyDiv w:val="1"/>
      <w:marLeft w:val="0"/>
      <w:marRight w:val="0"/>
      <w:marTop w:val="0"/>
      <w:marBottom w:val="0"/>
      <w:divBdr>
        <w:top w:val="none" w:sz="0" w:space="0" w:color="auto"/>
        <w:left w:val="none" w:sz="0" w:space="0" w:color="auto"/>
        <w:bottom w:val="none" w:sz="0" w:space="0" w:color="auto"/>
        <w:right w:val="none" w:sz="0" w:space="0" w:color="auto"/>
      </w:divBdr>
    </w:div>
    <w:div w:id="1800107583">
      <w:bodyDiv w:val="1"/>
      <w:marLeft w:val="0"/>
      <w:marRight w:val="0"/>
      <w:marTop w:val="0"/>
      <w:marBottom w:val="0"/>
      <w:divBdr>
        <w:top w:val="none" w:sz="0" w:space="0" w:color="auto"/>
        <w:left w:val="none" w:sz="0" w:space="0" w:color="auto"/>
        <w:bottom w:val="none" w:sz="0" w:space="0" w:color="auto"/>
        <w:right w:val="none" w:sz="0" w:space="0" w:color="auto"/>
      </w:divBdr>
    </w:div>
    <w:div w:id="2038391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2552</Words>
  <Characters>14036</Characters>
  <Application>Microsoft Office Word</Application>
  <DocSecurity>0</DocSecurity>
  <Lines>116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2026-06-17T11:14:00Z</dcterms:created>
  <dcterms:modified xsi:type="dcterms:W3CDTF">2026-06-17T11:14:00Z</dcterms:modified>
  <cp:category/>
</cp:coreProperties>
</file>