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>Edited by Julian PT Higgins, Jelena Savović,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0203C4E2" w:rsidR="004B666A" w:rsidRPr="00DF23A3" w:rsidRDefault="00DF23A3" w:rsidP="00DF23A3">
                  <w:pPr>
                    <w:spacing w:after="0"/>
                    <w:jc w:val="left"/>
                  </w:pP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Zivkovic, Miodrag, et al. "COVID-19 cases prediction by using hybrid machine learning and beetle antennae search approach."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Sustainable Cities and Society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66 (2021): 102669.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Individually-randomized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5A95C415" w:rsidR="00895457" w:rsidRPr="00DF23A3" w:rsidRDefault="00DF23A3" w:rsidP="00DF23A3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  <w:r w:rsidRPr="00DF23A3">
                    <w:rPr>
                      <w:lang w:val="en-US"/>
                    </w:rPr>
                    <w:t>mprove the current time-series prediction</w:t>
                  </w:r>
                  <w:r>
                    <w:rPr>
                      <w:lang w:val="en-US"/>
                    </w:rPr>
                    <w:t xml:space="preserve"> </w:t>
                  </w:r>
                  <w:r w:rsidRPr="00DF23A3">
                    <w:rPr>
                      <w:lang w:val="en-US"/>
                    </w:rPr>
                    <w:t>(forecasting) algorithms</w:t>
                  </w:r>
                  <w:r>
                    <w:rPr>
                      <w:lang w:val="en-US"/>
                    </w:rPr>
                    <w:t xml:space="preserve"> </w:t>
                  </w:r>
                  <w:r w:rsidRPr="00DF23A3">
                    <w:rPr>
                      <w:lang w:val="en-US"/>
                    </w:rPr>
                    <w:t>based on hybrids between machine learning and nature-inspired algorithms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0EB60D93" w:rsidR="00895457" w:rsidRPr="00165C67" w:rsidRDefault="00DF23A3" w:rsidP="00895457">
                  <w:r>
                    <w:t>No intervention</w:t>
                  </w:r>
                  <w:r w:rsidR="001875DE">
                    <w:t xml:space="preserve"> </w:t>
                  </w: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09782D8B" w:rsidR="00895457" w:rsidRPr="00EC1AD2" w:rsidRDefault="00DF23A3" w:rsidP="00DF23A3">
                  <w:pPr>
                    <w:spacing w:after="0"/>
                    <w:rPr>
                      <w:rFonts w:cstheme="minorHAnsi"/>
                      <w:lang w:val="en-US"/>
                    </w:rPr>
                  </w:pPr>
                  <w:r>
                    <w:rPr>
                      <w:rFonts w:cstheme="minorHAnsi"/>
                      <w:lang w:val="en-US"/>
                    </w:rPr>
                    <w:t>Accuracy of COVID pandemics case prediction by</w:t>
                  </w:r>
                  <w:r w:rsidRPr="00DF23A3">
                    <w:rPr>
                      <w:rFonts w:cstheme="minorHAnsi"/>
                      <w:lang w:val="en-US"/>
                    </w:rPr>
                    <w:t xml:space="preserve"> hybrid machine learning method</w:t>
                  </w:r>
                  <w:r>
                    <w:rPr>
                      <w:rFonts w:cstheme="minorHAnsi"/>
                      <w:lang w:val="en-US"/>
                    </w:rPr>
                    <w:t xml:space="preserve"> based on Bettle Antennae Search (BAS) and </w:t>
                  </w:r>
                  <w:r w:rsidRPr="00CD60D6">
                    <w:rPr>
                      <w:rFonts w:cstheme="minorHAnsi"/>
                      <w:lang w:val="en-US"/>
                    </w:rPr>
                    <w:t>adaptive neuro-fuzzy inference system</w:t>
                  </w:r>
                  <w:r w:rsidR="00CD60D6">
                    <w:rPr>
                      <w:rFonts w:cstheme="minorHAnsi"/>
                      <w:lang w:val="en-US"/>
                    </w:rPr>
                    <w:t xml:space="preserve"> </w:t>
                  </w:r>
                  <w:r w:rsidRPr="00CD60D6">
                    <w:rPr>
                      <w:rFonts w:cstheme="minorHAnsi"/>
                      <w:lang w:val="en-US"/>
                    </w:rPr>
                    <w:t>(ANFIS)</w:t>
                  </w:r>
                  <w:r w:rsidR="00EC1AD2">
                    <w:rPr>
                      <w:rFonts w:cstheme="minorHAnsi"/>
                      <w:lang w:val="en-US"/>
                    </w:rPr>
                    <w:t xml:space="preserve">, named </w:t>
                  </w:r>
                  <w:r w:rsidR="00EC1AD2" w:rsidRPr="00EC1AD2">
                    <w:rPr>
                      <w:rFonts w:cstheme="minorHAnsi"/>
                      <w:lang w:val="en-US"/>
                    </w:rPr>
                    <w:t>Cauchy exploration strategy BAS</w:t>
                  </w:r>
                  <w:r w:rsidR="00EC1AD2">
                    <w:rPr>
                      <w:rFonts w:cstheme="minorHAnsi"/>
                      <w:lang w:val="en-US"/>
                    </w:rPr>
                    <w:t xml:space="preserve"> (CESBAS).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C321E26" w:rsidR="00895457" w:rsidRPr="00165C67" w:rsidRDefault="00EC1AD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Results are presented in Table 3 and Table 4. Depending on the metaheuristics employed, CESBAS exhibited same performance as other known BAS algorithms.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583E81D9" w:rsidR="00895457" w:rsidRPr="00165C67" w:rsidRDefault="00861844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113A97B" w14:textId="77777777" w:rsidR="00696065" w:rsidRDefault="00895457" w:rsidP="00895457">
            <w:pPr>
              <w:spacing w:after="0"/>
              <w:rPr>
                <w:szCs w:val="20"/>
              </w:rPr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455EC75A" w:rsidR="00895457" w:rsidRPr="00165C67" w:rsidRDefault="00696065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failures in implementing the intervention that could have affected the outcome</w:t>
            </w:r>
          </w:p>
          <w:p w14:paraId="2AFD3E35" w14:textId="56E8F0DC" w:rsidR="00895457" w:rsidRPr="00165C67" w:rsidRDefault="00EC1AD2" w:rsidP="00895457">
            <w:r>
              <w:rPr>
                <w:szCs w:val="20"/>
              </w:rPr>
              <w:t xml:space="preserve"> 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14:paraId="3B6C228E" w14:textId="70735E24" w:rsidR="0023251F" w:rsidRPr="004B666A" w:rsidRDefault="006B2C5C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71E67"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(e.g.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(e.g.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(e.g.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(e.g.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RePORTER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6ACB4978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519FE0E1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B1070C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0FAB570D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3CF782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26AF136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82F7431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F503A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0F2386E6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215ECBB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3342BB0" w:rsidR="00C153C1" w:rsidRPr="004B666A" w:rsidRDefault="00EC1AD2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PN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266C79AE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3F503A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0989BA4C" w:rsidR="00CA084F" w:rsidRPr="006B1069" w:rsidRDefault="00CA084F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5066391A" w:rsidR="00CA084F" w:rsidRPr="004B666A" w:rsidRDefault="00C200B2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B520C8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0DCABD44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6709718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3F503A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BEFBF3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PY</w:t>
            </w:r>
          </w:p>
        </w:tc>
      </w:tr>
      <w:tr w:rsidR="00C153C1" w:rsidRPr="003F503A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1DF652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PN</w:t>
            </w:r>
          </w:p>
        </w:tc>
      </w:tr>
      <w:tr w:rsidR="00C153C1" w:rsidRPr="003F503A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1E9F6825" w:rsidR="00C153C1" w:rsidRPr="004B666A" w:rsidRDefault="00C200B2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>
              <w:rPr>
                <w:rFonts w:cstheme="minorHAnsi"/>
                <w:color w:val="FF0000"/>
              </w:rPr>
              <w:t>Y</w:t>
            </w:r>
          </w:p>
        </w:tc>
      </w:tr>
      <w:tr w:rsidR="00C153C1" w:rsidRPr="003F503A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55104D5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PY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22106AB6" w:rsidR="0079530F" w:rsidRPr="00B666A7" w:rsidRDefault="00C200B2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Some concerns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5BA75DAC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8729FFA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88C0E3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PY</w:t>
            </w:r>
          </w:p>
        </w:tc>
      </w:tr>
      <w:tr w:rsidR="00C153C1" w:rsidRPr="003F503A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684A06AB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387CFBD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07544FA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1FD805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0C394B02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72914383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PN</w:t>
            </w:r>
          </w:p>
        </w:tc>
      </w:tr>
      <w:tr w:rsidR="00C153C1" w:rsidRPr="003F503A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82AD052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3F503A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318100E6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3F503A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78CBDDB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10790A0A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08EF6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62EBAE8D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Is the numerical result being assessed likely to have been selected, on the basis of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4C6D1CDC" w:rsidR="00C153C1" w:rsidRPr="004B666A" w:rsidRDefault="00C200B2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>
              <w:rPr>
                <w:rFonts w:cstheme="minorHAnsi"/>
                <w:color w:val="FF0000"/>
              </w:rPr>
              <w:t>Y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3513195D" w:rsidR="00C153C1" w:rsidRPr="004B666A" w:rsidRDefault="00C200B2" w:rsidP="00C153C1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color w:val="FF0000"/>
              </w:rPr>
              <w:t>P</w:t>
            </w:r>
            <w:r>
              <w:rPr>
                <w:rFonts w:cstheme="minorHAnsi"/>
                <w:color w:val="FF0000"/>
              </w:rPr>
              <w:t>Y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14483E78" w:rsidR="00E677C1" w:rsidRPr="004B666A" w:rsidRDefault="00C200B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19430230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B17EF7B" w:rsidR="00076212" w:rsidRPr="004B666A" w:rsidRDefault="00240074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0AB04252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9E6A" w14:textId="77777777" w:rsidR="004E7003" w:rsidRDefault="004E7003" w:rsidP="006B1069">
      <w:pPr>
        <w:spacing w:after="0"/>
      </w:pPr>
      <w:r>
        <w:separator/>
      </w:r>
    </w:p>
  </w:endnote>
  <w:endnote w:type="continuationSeparator" w:id="0">
    <w:p w14:paraId="6710546C" w14:textId="77777777" w:rsidR="004E7003" w:rsidRDefault="004E7003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E921" w14:textId="77777777" w:rsidR="004E7003" w:rsidRDefault="004E7003" w:rsidP="006B1069">
      <w:pPr>
        <w:spacing w:after="0"/>
      </w:pPr>
      <w:r>
        <w:separator/>
      </w:r>
    </w:p>
  </w:footnote>
  <w:footnote w:type="continuationSeparator" w:id="0">
    <w:p w14:paraId="71E33D60" w14:textId="77777777" w:rsidR="004E7003" w:rsidRDefault="004E7003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40819"/>
    <w:rsid w:val="000722D3"/>
    <w:rsid w:val="00076212"/>
    <w:rsid w:val="000A490D"/>
    <w:rsid w:val="000C0880"/>
    <w:rsid w:val="000F57E8"/>
    <w:rsid w:val="000F6D16"/>
    <w:rsid w:val="00161A49"/>
    <w:rsid w:val="001875DE"/>
    <w:rsid w:val="001A7264"/>
    <w:rsid w:val="00203D3D"/>
    <w:rsid w:val="0023251F"/>
    <w:rsid w:val="00240074"/>
    <w:rsid w:val="00276907"/>
    <w:rsid w:val="002E2D70"/>
    <w:rsid w:val="002F78AD"/>
    <w:rsid w:val="003075E8"/>
    <w:rsid w:val="003373FE"/>
    <w:rsid w:val="003414A1"/>
    <w:rsid w:val="00341861"/>
    <w:rsid w:val="003636E8"/>
    <w:rsid w:val="00391204"/>
    <w:rsid w:val="003B36FC"/>
    <w:rsid w:val="003B38D9"/>
    <w:rsid w:val="003C2F57"/>
    <w:rsid w:val="003C3813"/>
    <w:rsid w:val="003F503A"/>
    <w:rsid w:val="00405A6D"/>
    <w:rsid w:val="00420E6C"/>
    <w:rsid w:val="0046499F"/>
    <w:rsid w:val="004B666A"/>
    <w:rsid w:val="004E7003"/>
    <w:rsid w:val="00507ECD"/>
    <w:rsid w:val="00541655"/>
    <w:rsid w:val="00546ADD"/>
    <w:rsid w:val="00573FC0"/>
    <w:rsid w:val="00584878"/>
    <w:rsid w:val="005909E4"/>
    <w:rsid w:val="00626CD4"/>
    <w:rsid w:val="00696065"/>
    <w:rsid w:val="006B1069"/>
    <w:rsid w:val="006B2C5C"/>
    <w:rsid w:val="00730D7D"/>
    <w:rsid w:val="0075406D"/>
    <w:rsid w:val="0079530F"/>
    <w:rsid w:val="007A6C00"/>
    <w:rsid w:val="007A6F9B"/>
    <w:rsid w:val="008152AE"/>
    <w:rsid w:val="008509C5"/>
    <w:rsid w:val="00851D4D"/>
    <w:rsid w:val="00861844"/>
    <w:rsid w:val="00871668"/>
    <w:rsid w:val="00883613"/>
    <w:rsid w:val="00895457"/>
    <w:rsid w:val="008C7515"/>
    <w:rsid w:val="008D01E0"/>
    <w:rsid w:val="00921EE8"/>
    <w:rsid w:val="009511A5"/>
    <w:rsid w:val="00966081"/>
    <w:rsid w:val="009D036C"/>
    <w:rsid w:val="00A027FC"/>
    <w:rsid w:val="00B02401"/>
    <w:rsid w:val="00B34EF8"/>
    <w:rsid w:val="00B454D5"/>
    <w:rsid w:val="00B64463"/>
    <w:rsid w:val="00B666A7"/>
    <w:rsid w:val="00BB74E2"/>
    <w:rsid w:val="00BE49FF"/>
    <w:rsid w:val="00C006C7"/>
    <w:rsid w:val="00C153C1"/>
    <w:rsid w:val="00C200B2"/>
    <w:rsid w:val="00C36FF7"/>
    <w:rsid w:val="00CA084F"/>
    <w:rsid w:val="00CD60D6"/>
    <w:rsid w:val="00CF5BDC"/>
    <w:rsid w:val="00D355DC"/>
    <w:rsid w:val="00D71E67"/>
    <w:rsid w:val="00DE283D"/>
    <w:rsid w:val="00DF23A3"/>
    <w:rsid w:val="00E677C1"/>
    <w:rsid w:val="00EC1AD2"/>
    <w:rsid w:val="00EC605B"/>
    <w:rsid w:val="00F00159"/>
    <w:rsid w:val="00F23B98"/>
    <w:rsid w:val="00F41673"/>
    <w:rsid w:val="00F62087"/>
    <w:rsid w:val="00F73EE6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81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0D4451"/>
    <w:rsid w:val="00180EB6"/>
    <w:rsid w:val="003E0B56"/>
    <w:rsid w:val="00470EEE"/>
    <w:rsid w:val="00767319"/>
    <w:rsid w:val="007B54A7"/>
    <w:rsid w:val="00826DDA"/>
    <w:rsid w:val="00915AB4"/>
    <w:rsid w:val="009544D7"/>
    <w:rsid w:val="00990F97"/>
    <w:rsid w:val="00A176F5"/>
    <w:rsid w:val="00D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1380</Words>
  <Characters>7457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35</cp:revision>
  <dcterms:created xsi:type="dcterms:W3CDTF">2019-07-09T08:37:00Z</dcterms:created>
  <dcterms:modified xsi:type="dcterms:W3CDTF">2022-02-19T14:28:00Z</dcterms:modified>
</cp:coreProperties>
</file>