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ind w:left="0" w:right="0" w:firstLine="0"/>
        <w:jc w:val="left"/>
        <w:rPr>
          <w:b w:val="1"/>
          <w:sz w:val="30"/>
          <w:szCs w:val="30"/>
        </w:rPr>
      </w:pPr>
      <w:bookmarkStart w:colFirst="0" w:colLast="0" w:name="_l97ffx4lfco3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41"/>
          <w:szCs w:val="41"/>
          <w:rtl w:val="0"/>
        </w:rPr>
        <w:t xml:space="preserve">Parte 1: Visão Geral e Estratégia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do Programa: Visão geral do projeto, incluindo escopo e objetivos.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Iniciativa para aumentar a lucratividade no próximo ano, focando em otimização de preços, diminuição de portfólio e investimento de marketing direcionado nas principais lojas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 a Ser Resolvido: Identificação clara do problema que está impulsionando a necessidade de aumento de vendas.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Vendas estagnadas devido à forte concorrência e mudanças no comportamento do consumidor tem feito redes aplicarem descontos abaixo da nossa política de preço ideal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 Específicos: Definir metas mensuráveis e específicas que o programa visa alcançar.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Evitar venda com mais de 20% de desconto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Diminuir o portfólio de produtos em 20%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Investimento nas lojas com mais vendas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b w:val="1"/>
          <w:color w:val="172b4d"/>
          <w:sz w:val="49"/>
          <w:szCs w:val="49"/>
        </w:rPr>
      </w:pPr>
      <w:bookmarkStart w:colFirst="0" w:colLast="0" w:name="_o7yniwjvyqb1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41"/>
          <w:szCs w:val="41"/>
          <w:rtl w:val="0"/>
        </w:rPr>
        <w:t xml:space="preserve">Parte 2: Análise Financeira e de Benefícios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Retorno Financeiro Esperado: Projeções de aumento de receita e análise de custo-benefício.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Espera-se um aumento no lucro líquido de 5 milhões de dólares no primeiro ano após a implementação.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ind w:left="0" w:firstLine="0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Benefícios Principais: Benefícios tangíveis e intangíveis do programa (por exemplo, aumento da participação de mercado, melhoria da satisfação do cliente).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Maior fidelização de clientes, aumento da participação de mercado e melhoria na percepção da marca.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Análise de Riscos: Identificação e avaliação de riscos potenciais e planos de mitigação.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Riscos incluem resistência à mudança interna, desafios técnicos e possíveis reações negativas do mercado. Planos de mitigação incluem comunicação efetiva, treinamento e monitoramento contínuo do mercado.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b w:val="1"/>
          <w:color w:val="172b4d"/>
          <w:sz w:val="49"/>
          <w:szCs w:val="49"/>
        </w:rPr>
      </w:pPr>
      <w:bookmarkStart w:colFirst="0" w:colLast="0" w:name="_u9fsj7g5nlzx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41"/>
          <w:szCs w:val="41"/>
          <w:rtl w:val="0"/>
        </w:rPr>
        <w:t xml:space="preserve">Parte 3: Componentes Técnicos 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Granularidade dos Dados de Entrada: Nível de detalhe dos dados de entrada.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Transações individuais e interações de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highlight w:val="white"/>
                <w:rtl w:val="0"/>
              </w:rPr>
              <w:t xml:space="preserve">Dados a Serem Produzidos: Detalhamento das tabelas e campos que serão gerados pelo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Relatórios de vendas integradas entre redes online e físicas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Granularidade dos Dados de Saída: Nível de detalhe dos dados de saída.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Nível individual, resumos diários, semanais e mensais.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Critérios de Qualidade dos Dados: Definição de padrões de qualidade de dados, como precisão, completude e atualidade.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Precisão superior a 95%, atualização diária dos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Dados a Serem Consumidos: Identificação das tabelas e campos relevantes.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vendas da loja, sistemas de vendas do e commerce, planilha de catalogo de produto, sistema de estoque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Protótipos de Interface/Telas (se aplicável): Desenvolvimento de mockups e protótipos de interfaces de usuário para visualização de dados ou relatórios.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Painéis de BI com KPIs chave, relatórios de tendências de vendas.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