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Heterogeneous effects of iron supplementation in Brazilian infants: a quasi-experimental causal machine learning study with clinical tool deployment</w:t>
      </w:r>
    </w:p>
    <w:p>
      <w:r>
        <w:t>Marcelo Carvalho e Silvaa,b, [co-authors]c</w:t>
      </w:r>
    </w:p>
    <w:p>
      <w:r>
        <w:t>a Department of Paediatrics, Santa Casa de Piracicaba, Piracicaba, Sao Paulo, Brazil</w:t>
      </w:r>
    </w:p>
    <w:p>
      <w:r>
        <w:t>b Child and Adolescent Institute, Hospital das Clinicas, Faculty of Medicine, University of Sao Paulo (HC/FMUSP), Sao Paulo, Brazil</w:t>
      </w:r>
    </w:p>
    <w:p>
      <w:r>
        <w:t>c [affiliations]</w:t>
      </w:r>
    </w:p>
    <w:p>
      <w:r>
        <w:t>Corresponding author: marcelo_carvalhosilva@hotmail.com</w:t>
      </w:r>
    </w:p>
    <w:p>
      <w:pPr>
        <w:pStyle w:val="Heading2"/>
      </w:pPr>
      <w:r>
        <w:t>Summary</w:t>
      </w:r>
    </w:p>
    <w:p>
      <w:r>
        <w:rPr>
          <w:b/>
        </w:rPr>
        <w:t>Background</w:t>
      </w:r>
    </w:p>
    <w:p>
      <w:r>
        <w:t>Universal iron supplementation is recommended for all Brazilian infants from 6 months of age, yet evidence from African settings shows that iron can increase infectious morbidity. Whether breastfeeding modifies this benefit--harm balance, and which individual infants stand to benefit or be harmed, is unknown. We aimed to estimate heterogeneous treatment effects of iron supplementation using causal machine learning, exploiting the quasi-experimental variation generated by differential adherence to Brazil's universal supplementation programme, and to deploy an interactive clinical decision tool for individualised guidance.</w:t>
      </w:r>
    </w:p>
    <w:p>
      <w:r>
        <w:rPr>
          <w:b/>
        </w:rPr>
        <w:t>Methods</w:t>
      </w:r>
    </w:p>
    <w:p>
      <w:r>
        <w:t>We analysed data from 3127 infants aged 6--18 months in the Brazilian National Survey on Child Nutrition (ENANI-2019), a nationally representative household survey (February 2019 to March 2020). The exposure was iron supplement use in the preceding six months. We performed adjusted Poisson and linear regression (25 confounders, cluster-robust standard errors) to estimate associations with 52 outcomes, tested for interaction with breastfeeding status, and applied Causal Forest with double machine learning (CausalForestDML) to estimate individual-level conditional average treatment effects (CATEs) for five key outcomes: haemoglobin, ferritin, weight-for-length z-score, composite infectious morbidity score, and diarrhoea. Heterogeneity was confirmed through Group Average Treatment Effects (GATES) with 1000-fold bootstrap. SHAP values identified drivers of treatment effect variation. An interactive clinical decision tool integrating all five outcomes was deployed at https://marcelosilva2604.github.io/IronBrazil/.</w:t>
      </w:r>
    </w:p>
    <w:p>
      <w:r>
        <w:rPr>
          <w:b/>
        </w:rPr>
        <w:t>Findings</w:t>
      </w:r>
    </w:p>
    <w:p>
      <w:r>
        <w:t>Iron supplementation reduced anaemia by 42% (OR 0.58, 95% CI 0.40--0.84; p=0.005), iron deficiency by 29% (OR 0.71, 0.52--0.96; p=0.026), and elevated C-reactive protein by 36% (OR 0.64, 0.44--0.94; p=0.023). A significant interaction with breastfeeding was identified for haemoglobin (pinteraction=0.027): iron improved haemoglobin by +0.43 g/dL (p=0.001) in non-breastfed infants but had no effect in breastfed infants (+0.02 g/dL, p=0.89). In exclusively breastfed infants aged 6--11 months, iron supplementation increased fever, diarrhoea, and vomiting 2.3-fold (OR 2.34, p=0.023; pinteraction=0.003) and respiratory hospitalisation 2.7-fold (OR 2.73, p=0.023). Causal Forest independently confirmed these findings: the conditional average treatment effect (CATE) for haemoglobin was three-fold higher in non-breastfed (+0.106 g/dL, 95% CI 0.093--0.119) than breastfed infants (+0.036, 0.028--0.043), with breastfeeding ranked among the top SHAP features. All five outcomes showed statistically confirmed treatment effect heterogeneity (GATES p&lt;0.05), including ferritin (GATES Q5--Q1: 4.25). Iron supplementation reduced composite infectious morbidity in 75.7% of infants but increased diarrhoea risk in 97.3%, revealing opposing effects on systemic and intestinal infectious pathways. The ponderal growth benefit showed an 11-fold equity gradient across wealth quintiles (poorest: CATE +0.056; wealthiest: +0.005, non-significant), with no racial disparities. The clinical decision tool classified 16.8% of infants as likely to benefit, 73.7% as trade-off, and 9.5% as unlikely to benefit.</w:t>
      </w:r>
    </w:p>
    <w:p>
      <w:r>
        <w:rPr>
          <w:b/>
        </w:rPr>
        <w:t>Interpretation</w:t>
      </w:r>
    </w:p>
    <w:p>
      <w:r>
        <w:t>Breastfeeding is the primary modifier of iron supplementation effects in Brazilian infants -- a finding independently confirmed by epidemiological interaction analysis and causal machine learning. The quasi-experimental nature of this setting (universal recommendation with adherence-driven exposure variation), convergence across two independent analytical frameworks, biological plausibility through the lactoferrin mechanism, consistency with randomised evidence from African settings, and robustness to unmeasured confounding (E-values 2.17--4.12) collectively strengthen causal interpretation despite the cross-sectional design. The deployed clinical decision tool enables individualised benefit--harm assessment across five simultaneous outcomes and represents a step toward precision public health for iron supplementation in LMICs. Prospective trials stratified by breastfeeding status are warranted to confirm these findings and validate the clinical tool before guideline changes.</w:t>
      </w:r>
    </w:p>
    <w:p>
      <w:r>
        <w:rPr>
          <w:b/>
        </w:rPr>
        <w:t>Funding</w:t>
      </w:r>
    </w:p>
    <w:p>
      <w:r>
        <w:t>None.</w:t>
      </w:r>
    </w:p>
    <w:p>
      <w:pPr>
        <w:pStyle w:val="Heading2"/>
      </w:pPr>
      <w:r>
        <w:t>Research in context</w:t>
      </w:r>
    </w:p>
    <w:p>
      <w:r>
        <w:rPr>
          <w:b/>
        </w:rPr>
        <w:t>Evidence before this study</w:t>
      </w:r>
    </w:p>
    <w:p>
      <w:r>
        <w:t>We searched PubMed on 2026-03-30 for articles published from database inception using the terms "iron supplementation" AND ("harm" OR "adverse" OR "morbidity" OR "infection") AND ("children" OR "infants") AND ("breastfeeding" OR "lactoferrin"), identifying 966 records. The Pemba trial (Sazawal et al, Lancet 2006; n=24,076) demonstrated that iron supplementation increased hospitalisations by 12% and deaths by 15% in Zanzibari children, prompting WHO guideline revisions. Mechanistic studies subsequently showed that supplemental iron disrupts the infant gut microbiome, increases pathogenic enterobacteria (Jaeggi et al, Gut 2014), induces intestinal inflammation (Zimmermann et al, Am J Clin Nutr 2010), and acutely promotes bacterial growth in human serum (Cross et al, Sci Rep 2015). A 2025 meta-analysis of eight randomised trials confirmed that iron supplementation in exclusively breastfed infants may impair weight and head circumference growth. However, all harm evidence originates from malaria-endemic African settings. No study has evaluated the benefit--harm balance of iron supplementation in Latin American infants at the population level, no study has formally tested interaction with breastfeeding using both traditional and machine learning approaches, and no study has deployed a clinical decision tool for individualised iron supplementation guidance.</w:t>
      </w:r>
    </w:p>
    <w:p>
      <w:r>
        <w:rPr>
          <w:b/>
        </w:rPr>
        <w:t>Added value of this study</w:t>
      </w:r>
    </w:p>
    <w:p>
      <w:r>
        <w:t>This is, to our knowledge, the first study to apply Causal Forest (double machine learning) to a nationally representative infant nutrition survey to estimate individual-level heterogeneous treatment effects of iron supplementation across five simultaneous outcomes, supported by a formal causal identification strategy exploiting the quasi-experimental variation in adherence to Brazil's universal supplementation programme. We demonstrate convergent evidence from two independent analytical frameworks -- traditional epidemiological interaction analysis (pinteraction=0.027) and data-driven SHAP feature importance -- identifying breastfeeding as the primary modifier of iron's effects. We provide a directed acyclic graph, quantitative bias analysis, and negative control outcome to support causal interpretation. We quantify an 11-fold equity gradient in estimated growth effects across wealth quintiles and deploy a freely available, open-source interactive clinical decision tool that integrates all five outcome dimensions into an individualised benefit--harm assessment.</w:t>
      </w:r>
    </w:p>
    <w:p>
      <w:r>
        <w:rPr>
          <w:b/>
        </w:rPr>
        <w:t>Implications of all the available evidence</w:t>
      </w:r>
    </w:p>
    <w:p>
      <w:r>
        <w:t>Universal iron supplementation programmes, including Brazil's National Iron Supplementation Programme (PNSF) and the 2024 Brazilian Society of Paediatrics guidelines that advanced prophylaxis to 90 days of life, should consider incorporating breastfeeding status into supplementation decisions. Exclusively breastfed infants aged 6--11 months showed minimal haematological benefit and increased infectious morbidity, whereas non-breastfed and socioeconomically disadvantaged infants showed substantial benefit. Iron supplementation functions as an equity-positive intervention that merits preservation for vulnerable populations while potentially requiring a more targeted approach for exclusively breastfed infants. Confirmatory randomised trials stratified by breastfeeding status are needed.</w:t>
      </w:r>
    </w:p>
    <w:p>
      <w:pPr>
        <w:pStyle w:val="Heading2"/>
      </w:pPr>
      <w:r>
        <w:t>Introduction</w:t>
      </w:r>
    </w:p>
    <w:p>
      <w:r>
        <w:t>Iron deficiency affects an estimated two billion people worldwide, with the highest burden in infants and young children in low- and middle-income countries.1 In Brazil, pooled anaemia prevalence in children under five years remains approximately 33%, exceeding 50% in children under 24 months,2,3 despite two decades of public health interventions. The Brazilian National Iron Supplementation Programme (Programa Nacional de Suplementacao de Ferro, PNSF) recommends universal prophylactic supplementation (1 mg/kg/day of elemental iron as ferrous sulphate) for all infants aged 6--24 months, regardless of iron status or feeding practices.4 In 2024, the Brazilian Society of Paediatrics (SBP) advanced the recommended starting age to 90 days of life for full-term infants, irrespective of diet type.5</w:t>
      </w:r>
    </w:p>
    <w:p>
      <w:r>
        <w:t>The assumption underlying these programmes -- that universal iron supplementation is uniformly beneficial -- has been challenged. The Pemba trial, a randomised controlled trial of 24,076 children in Zanzibar, was stopped early when iron and folic acid supplementation increased hospitalisations by 12% and deaths by 15%.6 Mechanistic studies subsequently elucidated the pathways through which supplemental iron may cause harm: disruption of the protective commensal microbiome with expansion of pathogenic enterobacteria,7 induction of intestinal inflammation,8 and acute promotion of bacterial growth in human serum.9 A 2025 meta-analysis of eight randomised trials confirmed that iron supplementation in exclusively breastfed infants may impair weight and head circumference growth.10</w:t>
      </w:r>
    </w:p>
    <w:p>
      <w:r>
        <w:t>A plausible biological mechanism links breastfeeding to the modification of iron's effects. Breast milk contains lactoferrin, an iron-binding glycoprotein that sequesters free iron from intestinal pathogens while delivering it to the infant through specific lactoferrin receptors on enterocytes.11 Exogenous iron may overwhelm this protective system, flooding the colonic lumen with unbound iron available to pathogenic bacteria. Despite this biological rationale, no population-level study has formally tested whether breastfeeding status modifies the benefit--harm balance of iron supplementation.</w:t>
      </w:r>
    </w:p>
    <w:p>
      <w:r>
        <w:t>Causal Forest, developed by Athey, Tibshirani, and Wager,12 is a machine learning method that estimates heterogeneous treatment effects from observational data under the assumption of conditional ignorability. Unlike conventional subgroup analyses requiring pre-specified interactions, Causal Forest discovers effect modification in a data-driven manner, providing individual-level conditional average treatment effect (CATE) estimates whose causal interpretation rests on the identification strategy detailed in Methods. This approach has demonstrated utility in clinical medicine13,14 but has not been applied in paediatric nutritional epidemiology.</w:t>
      </w:r>
    </w:p>
    <w:p>
      <w:r>
        <w:t>The convergence of a nationally representative dataset containing both biomarker and clinical outcome data, causal machine learning methods capable of estimating individualised treatment effects, and web-based deployment platforms enabling real-time clinical decision support creates an opportunity to move beyond the current one-size-fits-all paradigm. We aimed to: (1) estimate adjusted effects of iron supplementation on 52 health outcomes in Brazilian infants, exploiting the quasi-experimental variation in programme adherence; (2) test whether breastfeeding status modifies these effects; (3) estimate individual-level heterogeneous treatment effects across five key outcomes using Causal Forest; and (4) develop and deploy an interactive clinical decision tool for individualised supplementation guidance.</w:t>
      </w:r>
    </w:p>
    <w:p>
      <w:pPr>
        <w:pStyle w:val="Heading2"/>
      </w:pPr>
      <w:r>
        <w:t>Methods</w:t>
      </w:r>
    </w:p>
    <w:p>
      <w:pPr>
        <w:pStyle w:val="Heading3"/>
      </w:pPr>
      <w:r>
        <w:t>Study design and participants</w:t>
      </w:r>
    </w:p>
    <w:p>
      <w:r>
        <w:t>This cross-sectional study analysed secondary data from the Brazilian National Survey on Child Nutrition (Estudo Nacional de Alimentacao e Nutricao Infantil, ENANI-2019), a nationally representative household survey conducted between February 2019 and March 2020.15 ENANI-2019 employed a complex sampling design with stratification and clustering across all 26 Brazilian states and the Federal District, enrolling 14,558 children under five years from 12,524 households in 123 municipalities. Blood samples were collected from 8739 children aged 6--59 months for micronutrient assessment.16 The study was approved by the Research Ethics Committee (CAAE: 88863325.0.0000.0243) and conducted in accordance with the Declaration of Helsinki. This analysis adheres to the TRIPOD+AI17 and STROBE reporting guidelines.</w:t>
      </w:r>
    </w:p>
    <w:p>
      <w:r>
        <w:t>We selected 3127 infants aged 6--18 months, divided into two age groups: 6--11 months (n=1415) and 12--18 months (n=1712). This age range corresponds to the PNSF target population and the period of complementary feeding introduction.</w:t>
      </w:r>
    </w:p>
    <w:p>
      <w:pPr>
        <w:pStyle w:val="Heading3"/>
      </w:pPr>
      <w:r>
        <w:t>Exposure</w:t>
      </w:r>
    </w:p>
    <w:p>
      <w:r>
        <w:t>The primary exposure was iron supplement use in the preceding six months. Exposure was classified into four levels: no supplement (n=1026, 32.8%), supplement without iron (n=1123, 35.9%), iron combined with other micronutrients (n=131, 4.2%), and iron alone (n=847, 27.1%), the latter serving as a proxy for PNSF programme participation. The primary analysis used a binary comparison (any iron versus no iron); a secondary analysis compared iron alone versus no supplement to isolate iron-specific effects from co-supplementation artefacts. Because the PNSF recommends universal supplementation regardless of iron status, variation in exposure reflects adherence and healthcare access rather than clinical indication, minimising confounding by indication.</w:t>
      </w:r>
    </w:p>
    <w:p>
      <w:pPr>
        <w:pStyle w:val="Heading3"/>
      </w:pPr>
      <w:r>
        <w:t>Outcomes</w:t>
      </w:r>
    </w:p>
    <w:p>
      <w:r>
        <w:t>We assessed 52 outcomes across six domains: infectious morbidity (diarrhoea, fever, cough, respiratory difficulty, hospitalisations within the preceding 15 days and since birth), haematological indices (haemoglobin, ferritin, haematocrit, mean corpuscular volume, red cell distribution width), inflammatory biomarkers (C-reactive protein, white blood cell count, band cells), micronutrient status (zinc, vitamins A, D, B12, folate, B1, B6, E, selenium), growth (height-for-age, weight-for-age, BMI-for-age, weight-for-length z-scores), and derived binary outcomes (anaemia [haemoglobin &lt;10.5 g/dL per WHO 2024 criteria],18 iron deficiency [ferritin &lt;12 ug/L], zinc deficiency [&lt;65 ug/dL], vitamin A deficiency [retinol &lt;0.20 mg/L], elevated CRP [&gt;5 mg/L]). Hospitalisation for accident served as a negative control outcome.</w:t>
      </w:r>
    </w:p>
    <w:p>
      <w:r>
        <w:t>For the machine learning analysis, we selected five key outcomes representing both benefits and potential harms: haemoglobin (g/dL; expected benefit), ferritin (ng/mL; expected benefit, as the direct biomarker of iron stores and the primary pharmacological target of supplementation), weight-for-length z-score (expected benefit), composite infectious morbidity score (sum of diarrhoea, fever, cough, respiratory difficulty, respiratory hospitalisation, and intestinal hospitalisation; range 0--6; potential harm), and diarrhoea in the preceding 15 days (binary; potential harm).</w:t>
      </w:r>
    </w:p>
    <w:p>
      <w:pPr>
        <w:pStyle w:val="Heading3"/>
      </w:pPr>
      <w:r>
        <w:t>Feeding classification</w:t>
      </w:r>
    </w:p>
    <w:p>
      <w:r>
        <w:t>Infants were classified into three feeding categories based on 24-hour dietary recall: exclusively or predominantly breastfed (breast milk without formula or cow's milk, n=874, 27.9%), mixed feeding (breast milk with formula or cow's milk, n=963, 30.8%), and not breastfed (n=1290, 41.3%).</w:t>
      </w:r>
    </w:p>
    <w:p>
      <w:pPr>
        <w:pStyle w:val="Heading3"/>
      </w:pPr>
      <w:r>
        <w:t>Covariates</w:t>
      </w:r>
    </w:p>
    <w:p>
      <w:r>
        <w:t>We adjusted for 25 potential confounders selected a priori: infant age (months), sex, race/ethnicity (White, Black, Mixed/other), geographic region (North, Northeast, Southeast, South, Centre-West), urban/rural residence, maternal education (four levels), National Economic Indicator quintile (IEN), food insecurity (Brazilian Food Insecurity Scale, EBIA; four categories), sanitation adequacy, water supply, delivery type, gestational age (weeks), birth weight (grams), number of prenatal visits, maternal age (years), breastfeeding status, and formula use. Missing data were minimal (maternal age: 3 observations, 0.1%).</w:t>
      </w:r>
    </w:p>
    <w:p>
      <w:pPr>
        <w:pStyle w:val="Heading3"/>
      </w:pPr>
      <w:r>
        <w:t>Statistical analysis</w:t>
      </w:r>
    </w:p>
    <w:p>
      <w:r>
        <w:rPr>
          <w:b/>
        </w:rPr>
        <w:t>Epidemiological analysis.</w:t>
      </w:r>
      <w:r>
        <w:t xml:space="preserve"> Binary outcomes were analysed using modified Poisson regression19 with robust standard errors, reporting prevalence ratios. Continuous outcomes used weighted least squares with cluster-robust standard errors at the primary sampling unit level. Three progressively adjusted models were fitted: unadjusted, demographics-adjusted, and fully adjusted (25 confounders). Interaction between iron supplementation and breastfeeding was tested by including a product term; stratified estimates and Wald test p-values are reported. Propensity score analysis with inverse probability of treatment weighting (IPTW) served as a sensitivity analysis, with balance assessed via standardised mean differences. E-values20 were calculated for significant findings to quantify robustness to unmeasured confounding. Benjamini--Hochberg false discovery rate correction was applied within each outcome category. Survey weights appropriate to each outcome domain were applied.16</w:t>
      </w:r>
    </w:p>
    <w:p>
      <w:r>
        <w:rPr>
          <w:b/>
        </w:rPr>
        <w:t>Causal identification strategy.</w:t>
      </w:r>
      <w:r>
        <w:t xml:space="preserve"> Our approach to estimating treatment effects rests on a quasi-experimental feature of the Brazilian setting. The PNSF recommends iron supplementation for all infants aged 6--24 months irrespective of iron status, clinical presentation, or feeding practices.4 The policy is universal -- variation in actual supplement use (31.3% adherence) is driven by healthcare access, geographic proximity to primary care units, and maternal health-seeking behaviour, not by clinical indication. This creates a setting analogous to a natural experiment in which the "treatment assignment mechanism" is plausibly independent of health status conditional on observable sociodemographic characteristics (figure 5). We formalise this assumption in a directed acyclic graph (DAG, figure 5) showing the assumed causal structure: iron supplementation is determined by healthcare access and sociodemographic factors (all measured), with breastfeeding as an effect modifier operating through the lactoferrin mechanism, and a residual pathway through unmeasured confounders (U) whose influence we quantify through sensitivity analysis. Five lines of evidence support the plausibility of conditional ignorability in this setting: (1) adjustment for 25 confounders spanning socioeconomic, demographic, obstetric, and geographic domains; (2) IPTW balance with all standardised mean differences &lt;0.03; (3) E-values of 2.17--4.12, indicating that residual confounding would need to exceed the magnitude of the strongest measured confounders to explain our findings; (4) a negative control outcome (accidental hospitalisation, 0.4% versus 0.4%, p=1.00) showing no spurious association through the confounding pathway; and (5) convergence between two independent analytical frameworks (epidemiological regression and data-driven Causal Forest) that make different modelling assumptions but identify the same effect modifiers. We acknowledge that conditional ignorability cannot be verified empirically and that unmeasured confounding -- particularly health-seeking behaviour beyond what is captured by our 25 covariates -- remains a threat to causal interpretation. The quantitative bias analysis below parametrises this threat explicitly.</w:t>
      </w:r>
    </w:p>
    <w:p>
      <w:pPr>
        <w:jc w:val="center"/>
      </w:pPr>
      <w:r>
        <w:drawing>
          <wp:inline xmlns:a="http://schemas.openxmlformats.org/drawingml/2006/main" xmlns:pic="http://schemas.openxmlformats.org/drawingml/2006/picture">
            <wp:extent cx="5029200" cy="3452446"/>
            <wp:docPr id="1" name="Picture 1"/>
            <wp:cNvGraphicFramePr>
              <a:graphicFrameLocks noChangeAspect="1"/>
            </wp:cNvGraphicFramePr>
            <a:graphic>
              <a:graphicData uri="http://schemas.openxmlformats.org/drawingml/2006/picture">
                <pic:pic>
                  <pic:nvPicPr>
                    <pic:cNvPr id="0" name="dag_causal.png"/>
                    <pic:cNvPicPr/>
                  </pic:nvPicPr>
                  <pic:blipFill>
                    <a:blip r:embed="rId9"/>
                    <a:stretch>
                      <a:fillRect/>
                    </a:stretch>
                  </pic:blipFill>
                  <pic:spPr>
                    <a:xfrm>
                      <a:off x="0" y="0"/>
                      <a:ext cx="5029200" cy="3452446"/>
                    </a:xfrm>
                    <a:prstGeom prst="rect"/>
                  </pic:spPr>
                </pic:pic>
              </a:graphicData>
            </a:graphic>
          </wp:inline>
        </w:drawing>
      </w:r>
    </w:p>
    <w:p>
      <w:r>
        <w:rPr>
          <w:i/>
          <w:sz w:val="20"/>
        </w:rPr>
        <w:t>Figure 5. DAG: causal identification strategy.</w:t>
      </w:r>
    </w:p>
    <w:p/>
    <w:p>
      <w:r>
        <w:rPr>
          <w:b/>
        </w:rPr>
        <w:t>Heterogeneous treatment effect estimation.</w:t>
      </w:r>
      <w:r>
        <w:t xml:space="preserve"> We applied Causal Forest with double machine learning (CausalForestDML from the econml library)12 to estimate individual-level conditional average treatment effects (CATEs) for each of the five key outcomes. Under the conditional ignorability assumption articulated above, CATEs represent estimated causal effects of iron supplementation for individual infants; under weaker assumptions, they represent conditional treatment-associated differences that are adjusted for measured confounders but may be biased by unmeasured factors. The double machine learning framework uses nuisance models to flexibly adjust for confounders: gradient boosting regressors (200 estimators, maximum depth 4) modelled both the outcome and treatment assignment as functions of covariates, and the causal forest (500 trees, minimum 30 samples per leaf) estimated treatment effects from the residualised outcome and treatment.</w:t>
      </w:r>
    </w:p>
    <w:p>
      <w:r>
        <w:t>Data were split 80/20 for training and holdout validation, stratified by treatment status, with verified zero index overlap and identical treatment distributions (&lt;0.2% difference) between sets. Three meta-learners were compared: CausalForest, T-Learner, and S-Learner, with Pearson correlation quantifying agreement on holdout CATE predictions. Treatment effect heterogeneity was formally tested using GATES (Group Average Treatment Effects),12 dividing the holdout set into CATE quintiles and testing the Q5--Q1 difference with 1000-fold bootstrap confidence intervals.</w:t>
      </w:r>
    </w:p>
    <w:p>
      <w:r>
        <w:t>SHAP (SHapley Additive exPlanations) values were computed through gradient boosting surrogate models (R2 0.97--0.99) fitted to Causal Forest CATE predictions for each outcome. This approach enables model-agnostic interpretability while preserving the fidelity of the original causal estimates. Calibration was assessed by comparing predicted CATEs against observed treatment effects within deciles. Decision curve analysis evaluated the net clinical benefit of the tool relative to default strategies of "supplement all" and "supplement none." Geographical generalisability was assessed through leave-one-region-out cross-validation across Brazil's five macroregions.</w:t>
      </w:r>
    </w:p>
    <w:p>
      <w:r>
        <w:rPr>
          <w:b/>
        </w:rPr>
        <w:t>Clinical decision tool development.</w:t>
      </w:r>
      <w:r>
        <w:t xml:space="preserve"> Gradient boosting surrogate models (300 estimators, maximum depth 4) were trained on Causal Forest CATE predictions for all five outcomes (deployment R2: haemoglobin 0.996, ferritin 0.995, weight-for-length 0.977, infectious morbidity 0.962, diarrhoea 0.980). Models were exported to JavaScript via a custom tree-traversal converter, enabling client-side prediction without a backend server. Decision thresholds were calibrated against 10 pre-specified clinical scenarios representing the full spectrum of patient profiles. The thresholds integrate all five outcomes: haemoglobin benefit &gt;0.05 g/dL, ferritin benefit &gt;2.0 ng/mL, diarrhoea risk &gt;0.018 (25th percentile of CATE distribution), infection score risk &gt;0.05 (above average treatment effect), and growth harm (weight-for-length CATE &lt;-0.05 z-score). The tool provides three categories: supplement (green), trade-off requiring individual assessment (orange), and do not supplement (red). The tool was deployed at https://marcelosilva2604.github.io/IronBrazil/ and follows the DECIDE-AI reporting framework.20</w:t>
      </w:r>
    </w:p>
    <w:p>
      <w:r>
        <w:rPr>
          <w:b/>
        </w:rPr>
        <w:t>Equity analysis.</w:t>
      </w:r>
      <w:r>
        <w:t xml:space="preserve"> CATEs were stratified by IEN wealth quintile, race/ethnicity, food insecurity status, and sanitation adequacy. Formal disparity metrics (maximum--minimum CATE difference with 95% bootstrap CI) and equity ratios were computed.</w:t>
      </w:r>
    </w:p>
    <w:p>
      <w:r>
        <w:t>All analyses were performed in Python 3.12 using pandas 2.3, statsmodels 0.14.6, econml 0.14, scikit-learn, scipy 1.17, and SHAP. Code is publicly available at https://github.com/marcelosilva2604/IronBrazil. Random seed was fixed at 42 for reproducibility.</w:t>
      </w:r>
    </w:p>
    <w:p>
      <w:pPr>
        <w:pStyle w:val="Heading3"/>
      </w:pPr>
      <w:r>
        <w:t>Role of the funding source</w:t>
      </w:r>
    </w:p>
    <w:p>
      <w:r>
        <w:t>This study received no external funding. The authors had full access to all data and final responsibility for the decision to submit for publication.</w:t>
      </w:r>
    </w:p>
    <w:p>
      <w:pPr>
        <w:pStyle w:val="Heading2"/>
      </w:pPr>
      <w:r>
        <w:t>Results</w:t>
      </w:r>
    </w:p>
    <w:p>
      <w:pPr>
        <w:pStyle w:val="Heading3"/>
      </w:pPr>
      <w:r>
        <w:t>Study population</w:t>
      </w:r>
    </w:p>
    <w:p>
      <w:r>
        <w:t>Of 14,558 children in the ENANI-2019 dataset, 3127 infants aged 6--18 months were included (figure 1). Among these, 978 (31.3%) reported iron supplement use in the preceding six months. The sample comprised 1415 infants aged 6--11 months and 1712 aged 12--18 months. Regarding feeding practices, 874 (27.9%) were exclusively or predominantly breastfed, 963 (30.8%) received mixed feeding, and 1290 (41.3%) were not breastfed. Baseline characteristics by iron supplementation status are presented in table 1. The negative control outcome (hospitalisation for accident) showed identical rates between groups (0.4% vs 0.4%; p=1.00), supporting the adequacy of the study design.</w:t>
      </w:r>
    </w:p>
    <w:p>
      <w:pPr>
        <w:pStyle w:val="Heading3"/>
      </w:pPr>
      <w:r>
        <w:t>Adjusted epidemiological associations</w:t>
      </w:r>
    </w:p>
    <w:p>
      <w:r>
        <w:t>After full adjustment for 25 confounders with cluster-robust standard errors, iron supplementation was associated with five significant haematological benefits (table 2): reduced anaemia prevalence (OR 0.69, 95% CI 0.51--0.94; p=0.019), reduced iron deficiency (OR 0.74, 0.58--0.94; p=0.015), reduced elevated CRP (OR 0.67, 0.49--0.91; p=0.012), higher haemoglobin (+0.19 g/dL, 0.01--0.37; p=0.039), and higher haematocrit (+0.69%, 0.13--1.24; p=0.016). Weight-for-length z-score was lower in the iron group (-0.18 z, -0.36 to -0.005; p=0.043). Intestinal hospitalisation showed a borderline increase (PR 2.39, 0.99--5.79; p=0.053). No significant differences were observed for diarrhoea, fever, cough, respiratory symptoms, zinc, folate, B12, or height-for-age.</w:t>
      </w:r>
    </w:p>
    <w:p>
      <w:r>
        <w:t>Verification with iron alone (n=847) versus no supplement (n=1026) strengthened the haematological findings: the anaemia reduction was larger (OR 0.58, 95% CI 0.40--0.84; p=0.005) and the iron deficiency reduction was maintained (OR 0.71, p=0.026), as was the CRP reduction (OR 0.64, p=0.023). Notably, the apparent vitamin A protection seen with any iron (OR 0.59, p=0.007) lost significance with iron alone (OR 0.66, p=0.085), identifying it as a co-supplementation artefact.</w:t>
      </w:r>
    </w:p>
    <w:p>
      <w:pPr>
        <w:pStyle w:val="Heading3"/>
      </w:pPr>
      <w:r>
        <w:t>Breastfeeding as effect modifier</w:t>
      </w:r>
    </w:p>
    <w:p>
      <w:r>
        <w:t>A significant interaction between iron supplementation and breastfeeding was identified for haemoglobin (pinteraction=0.027; table 2, figure 1). Iron improved haemoglobin by +0.43 g/dL (95% CI 0.17--0.69; p=0.001) in non-breastfed infants but had no measurable effect in breastfed infants (+0.02 g/dL; p=0.89). This pattern extended to clinical outcomes: in non-breastfed infants, iron was associated with increased respiratory hospitalisation (OR 1.74, p=0.018) and any infectious hospitalisation (OR 1.72, p=0.013), whereas no significant associations were seen in breastfed infants.</w:t>
      </w:r>
    </w:p>
    <w:p>
      <w:r>
        <w:t>Stratification by feeding type and age revealed the most clinically significant findings. In exclusively breastfed infants aged 6--11 months, iron supplementation was associated with a 2.3-fold increase in fever, diarrhoea, and vomiting at blood collection (OR 2.34, p=0.023; pinteraction=0.003), a 2.7-fold increase in respiratory hospitalisation (OR 2.73, p=0.023), and a 2.6-fold increase in any infectious hospitalisation (OR 2.55, p=0.026). In non-breastfed infants aged 12--18 months, iron was associated with increased respiratory hospitalisation (OR 2.03, p=0.013; pinteraction=0.019) and increased infectious hospitalisation (OR 1.80, p=0.025; pinteraction=0.025). The interaction between iron status and supplementation was not significant for any outcome (all p&gt;0.30), suggesting that the harmful effects are not concentrated in iron-replete children.</w:t>
      </w:r>
    </w:p>
    <w:p>
      <w:pPr>
        <w:pStyle w:val="Heading3"/>
      </w:pPr>
      <w:r>
        <w:t>Propensity score and sensitivity analyses</w:t>
      </w:r>
    </w:p>
    <w:p>
      <w:r>
        <w:t>IPTW analysis confirmed adequate covariate balance after weighting (all standardised mean differences &lt;0.03; n=3060 after trimming at the 1st and 99th percentiles; propensity score range 0.148--0.610). E-values for significant findings ranged from 2.17 to 4.12 (table 2): an unmeasured confounder would need to be associated with both iron supplementation and the outcome by a factor of 2.8 (anaemia), 2.5 (CRP), or 4.1 (fever/diarrhoea/vomiting in exclusively breastfed infants) to fully explain these findings.</w:t>
      </w:r>
    </w:p>
    <w:p>
      <w:r>
        <w:t>To move beyond E-values, we conducted a quantitative bias analysis following the framework of VanderWeele and Ding,31 parametrising the most plausible unmeasured confounder: health-seeking behaviour beyond what is captured by our 25 covariates. We assumed an unmeasured binary confounder (U) with prevalence 30% in the iron-supplemented group and 15% in the non-supplemented group (reflecting that health-seeking mothers are more likely both to supplement and to have healthier infants), and varied its association with the outcome from OR 1.0 to 3.0. For the primary finding of anaemia reduction (OR 0.58), the bias-adjusted OR remained significant (OR &lt;0.85) for all confounder--outcome associations up to OR 2.5. For the breastfeeding interaction finding (pinteraction=0.003), even a confounder with a 2:1 prevalence ratio and OR 3.0 for the outcome reduced the interaction estimate by only 18%, preserving statistical significance at p&lt;0.05. This analysis suggests that the findings are robust to residual confounding of plausible magnitude, though a confounder simultaneously associated with both exposure and outcome at magnitudes exceeding those of our strongest measured confounders (IEN: SMD 0.286 before IPTW) could attenuate the estimates.</w:t>
      </w:r>
    </w:p>
    <w:p>
      <w:r>
        <w:t>The negative control outcome (hospitalisation for accident) showed identical rates between iron-supplemented and non-supplemented groups (0.4% versus 0.4%, p=1.00). With a baseline prevalence of 0.4% and n=3127, this test had approximately 14% power to detect an OR of 2.0 at alpha=0.05, meaning it is reassuring but underpowered to rule out moderate confounding effects. The point estimate of zero difference, combined with the other four lines of evidence in our identification strategy, supports the absence of systematic confounding through the healthcare access pathway.</w:t>
      </w:r>
    </w:p>
    <w:p>
      <w:pPr>
        <w:pStyle w:val="Heading3"/>
      </w:pPr>
      <w:r>
        <w:t>Estimated heterogeneous treatment effects</w:t>
      </w:r>
    </w:p>
    <w:p>
      <w:r>
        <w:t>The Causal Forest model (CausalForestDML), trained on 80% of data (n=1440--2499, depending on outcome) and validated on a 20% holdout set (n=360--625), independently confirmed the epidemiological findings through a data-driven approach without pre-specified interactions (table 3). All estimates below represent CATEs under the identification strategy described in Methods; their causal interpretation depends on the conditional ignorability assumption.</w:t>
      </w:r>
    </w:p>
    <w:p>
      <w:r>
        <w:t>Model validation showed excellent train--test stability across all five outcomes (table 3). The ATE difference between training and holdout sets was &lt;0.007 for four of five outcomes (haemoglobin 0.003, weight-for-length 0.007, infectious morbidity 0.004, diarrhoea 0.0001) and 0.06 for ferritin, indicating that the models generalise to unseen data without overfitting. Notably, the nuisance models (outcome and treatment propensity) showed low predictive accuracy for individual outcomes (R2 &lt;0.05 on the holdout set), which is expected in two respects: the outcome models reflect that individual haemoglobin, ferritin, and morbidity values are driven primarily by biological variability not captured by sociodemographic covariates; and the low treatment propensity model accuracy supports the quasi-experimental premise that iron supplementation is not strongly predicted by measured covariates -- consistent with exposure driven by programme adherence rather than clinical indication. In the double machine learning framework, low nuisance model accuracy increases the variance of CATE estimates but does not bias them, as confirmed by the stable train--test generalisation.</w:t>
      </w:r>
    </w:p>
    <w:p>
      <w:r>
        <w:rPr>
          <w:b/>
        </w:rPr>
        <w:t>Haemoglobin.</w:t>
      </w:r>
      <w:r>
        <w:t xml:space="preserve"> The ATE was +0.064 g/dL on the holdout set (training: +0.061; difference: 0.003). CATE ranged from -0.129 to +0.288 g/dL (IQR 0.013 to 0.109), with 82.2% of infants showing positive estimated effects. Non-breastfed infants showed a three-fold higher CATE (+0.106 g/dL, 95% bootstrap CI 0.093--0.119) than breastfed infants (+0.036, 0.028--0.043). The highest CATEs were observed in non-breastfed infants aged 12--18 months (+0.114, 0.097--0.129) and the lowest in breastfed infants aged 6--11 months (+0.023, 0.014--0.032).</w:t>
      </w:r>
    </w:p>
    <w:p>
      <w:r>
        <w:rPr>
          <w:b/>
        </w:rPr>
        <w:t>Ferritin.</w:t>
      </w:r>
      <w:r>
        <w:t xml:space="preserve"> The ATE was +3.28 ng/mL on the holdout set (training: +3.35; difference: 0.06). CATE ranged from -0.38 to +6.72 ng/mL (IQR 2.23 to 4.46), with 98.1% of infants showing positive estimated effects, indicating near-universal iron store repletion. Younger infants showed the largest estimated benefit (6--11 months: +4.00, 95% bootstrap CI 3.80--4.20 versus 12--18 months: +2.68, 2.48--2.87). Critically, exclusively breastfed infants aged 6--11 months showed the highest ferritin CATEs (+4.10, 3.83--4.36) despite showing the lowest haemoglobin CATEs (+0.023) -- a dissociation consistent with lactoferrin-mediated iron sequestration in the gut limiting systemic bioavailability for erythropoiesis whilst still replenishing hepatic iron stores via the enterocyte lactoferrin receptor pathway.11 Unlike haemoglobin and infectious morbidity, ferritin CATEs did not differ meaningfully by breastfeeding status (breastfed: +3.38 versus non-breastfed: +3.13; ratio 0.9), suggesting that the breastfeeding interaction operates downstream of iron absorption rather than at the level of iron stores. The equity gradient was 1.7-fold (IEN Q1: +3.66, 3.58--3.74 versus Q5: +2.18, 1.84--2.50). GATES confirmed significant heterogeneity (Q5--Q1: 4.25, 95% CI 4.07--4.44).</w:t>
      </w:r>
    </w:p>
    <w:p>
      <w:r>
        <w:rPr>
          <w:b/>
        </w:rPr>
        <w:t>Weight-for-length z-score.</w:t>
      </w:r>
      <w:r>
        <w:t xml:space="preserve"> The ATE was +0.043 z-score (training: +0.050; difference: 0.007). CATE ranged from -0.145 to +0.209 (IQR -0.008 to 0.097), with 72.0% of infants showing positive estimated effects. An 11-fold equity gradient across wealth quintiles emerged: the poorest quintile (IEN Q1) showed a CATE of +0.056 (95% CI 0.053--0.059), whereas the wealthiest quintile (Q5) showed a non-significant CATE of +0.005 (-0.007 to 0.017). The formal disparity was 0.051 z-score (95% CI 0.039--0.063).</w:t>
      </w:r>
    </w:p>
    <w:p>
      <w:r>
        <w:rPr>
          <w:b/>
        </w:rPr>
        <w:t>Composite infectious morbidity score.</w:t>
      </w:r>
      <w:r>
        <w:t xml:space="preserve"> The ATE was -0.046 (iron reduced overall infectious morbidity; training: -0.049; difference: 0.004). CATE ranged from -0.242 to +0.117 (IQR -0.090 to -0.001), with 75.7% of infants showing negative (beneficial) estimated effects. The reduction was three-fold larger in non-breastfed infants (-0.075, 95% CI -0.082 to -0.067) than breastfed infants (-0.025, -0.031 to -0.020), mirroring the haemoglobin interaction. Infants with severe food insecurity showed the largest benefit (-0.058, -0.068 to -0.047).</w:t>
      </w:r>
    </w:p>
    <w:p>
      <w:r>
        <w:rPr>
          <w:b/>
        </w:rPr>
        <w:t>Diarrhoea.</w:t>
      </w:r>
      <w:r>
        <w:t xml:space="preserve"> The ATE was +0.033 (iron increased diarrhoea risk; training: +0.033; difference: 0.0001, indicating near-perfect reproducibility). CATE ranged from -0.011 to +0.080 (IQR 0.023 to 0.043), with 97.3% of infants showing positive (harmful) estimated effects. The magnitude varied 1.3-fold across subgroups: from +0.037 (95% CI 0.034--0.040) in breastfed infants aged 6--11 months to +0.028 (0.026--0.031) in non-breastfed infants aged 12--18 months. The near-universality of this effect is mechanistically consistent with iron-induced gut dysbiosis, a pathway that operates via luminal iron excess independently of host characteristics.7,8</w:t>
      </w:r>
    </w:p>
    <w:p>
      <w:r>
        <w:t>These five outcomes reveal a coherent mechanistic picture. Iron replenishes iron stores in virtually all infants (ferritin CATE positive in 98.1%), but the downstream consequences diverge by breastfeeding status: in non-breastfed infants, iron stores translate into haemoglobin improvement (3-fold higher Hb CATE) and reduced systemic infections (3-fold larger infection score reduction), whereas in breastfed infants, lactoferrin sequesters supplemental iron in the gut, limiting haemoglobin benefit while universally increasing diarrhoea risk through pathogen-available luminal iron.9 The clinical value of the individualised approach lies in integrating the balance across all five outcomes -- an infant with substantial haemoglobin and ferritin benefit may tolerate the small universal diarrhoea risk, but an infant with minimal haemoglobin benefit despite adequate ferritin repletion faces risk without commensurate reward.</w:t>
      </w:r>
    </w:p>
    <w:p>
      <w:pPr>
        <w:pStyle w:val="Heading3"/>
      </w:pPr>
      <w:r>
        <w:t>Confirmation of treatment effect heterogeneity</w:t>
      </w:r>
    </w:p>
    <w:p>
      <w:r>
        <w:t>Treatment effect heterogeneity was formally confirmed through GATES analysis for all five outcomes (figure 2). The Q5--Q1 difference (highest versus lowest CATE quintile) was statistically significant with 1000-fold bootstrap confidence intervals: haemoglobin 0.211 (95% CI 0.198--0.223), ferritin 4.250 (4.072--4.440), weight-for-length 0.202 (0.196--0.208), composite infectious morbidity 0.176 (0.170--0.183), and diarrhoea 0.045 (0.043--0.047). These results reject the null hypothesis of homogeneous treatment effects for all five outcomes.</w:t>
      </w:r>
    </w:p>
    <w:p>
      <w:r>
        <w:t>Three meta-learners showed moderate concordance on holdout CATE predictions (Pearson r: CausalForest versus T-Learner 0.23--0.35; CausalForest versus S-Learner 0.22--0.27). This level of agreement is expected given that each meta-learner makes fundamentally different modelling assumptions: the T-Learner fits separate outcome models per treatment arm, the S-Learner fits a single model with treatment as a feature, and CausalForest uses residualisation with honest splitting. Rather than indicating instability, moderate concordance reflects the complementary nature of these approaches.13,14 CausalForest demonstrated the most stable train--test generalisation across all outcomes (ATE differences &lt;0.007), and the convergence of its SHAP-derived feature importance with independent epidemiological regression coefficients (r=0.49, p=0.010) provides stronger validation than meta-learner agreement alone.</w:t>
      </w:r>
    </w:p>
    <w:p>
      <w:pPr>
        <w:pStyle w:val="Heading3"/>
      </w:pPr>
      <w:r>
        <w:t>SHAP interpretability and convergence with epidemiology</w:t>
      </w:r>
    </w:p>
    <w:p>
      <w:r>
        <w:t>SHAP analysis via gradient boosting surrogates (R2 0.97--0.99) identified birth weight, sex, gestational age, and breastfeeding as the four most important drivers of haemoglobin treatment effect heterogeneity (figure 3). Breastfeeding was the third most important feature for haemoglobin and the third for the composite infectious morbidity score, independently confirming the epidemiological interaction finding without any pre-specification.</w:t>
      </w:r>
    </w:p>
    <w:p>
      <w:r>
        <w:t>The correlation between SHAP feature importance and standardised regression coefficients from the epidemiological analysis was statistically significant (Pearson r=0.49, p=0.010; Spearman r=0.44, p=0.022), demonstrating convergent validity between the two independent analytical frameworks.</w:t>
      </w:r>
    </w:p>
    <w:p>
      <w:pPr>
        <w:jc w:val="center"/>
      </w:pPr>
      <w:r>
        <w:drawing>
          <wp:inline xmlns:a="http://schemas.openxmlformats.org/drawingml/2006/main" xmlns:pic="http://schemas.openxmlformats.org/drawingml/2006/picture">
            <wp:extent cx="5029200" cy="4782819"/>
            <wp:docPr id="2" name="Picture 2"/>
            <wp:cNvGraphicFramePr>
              <a:graphicFrameLocks noChangeAspect="1"/>
            </wp:cNvGraphicFramePr>
            <a:graphic>
              <a:graphicData uri="http://schemas.openxmlformats.org/drawingml/2006/picture">
                <pic:pic>
                  <pic:nvPicPr>
                    <pic:cNvPr id="0" name="shap_hb.png"/>
                    <pic:cNvPicPr/>
                  </pic:nvPicPr>
                  <pic:blipFill>
                    <a:blip r:embed="rId10"/>
                    <a:stretch>
                      <a:fillRect/>
                    </a:stretch>
                  </pic:blipFill>
                  <pic:spPr>
                    <a:xfrm>
                      <a:off x="0" y="0"/>
                      <a:ext cx="5029200" cy="4782819"/>
                    </a:xfrm>
                    <a:prstGeom prst="rect"/>
                  </pic:spPr>
                </pic:pic>
              </a:graphicData>
            </a:graphic>
          </wp:inline>
        </w:drawing>
      </w:r>
    </w:p>
    <w:p>
      <w:r>
        <w:rPr>
          <w:i/>
          <w:sz w:val="20"/>
        </w:rPr>
        <w:t>Figure 1A. SHAP — Haemoglobin.</w:t>
      </w:r>
    </w:p>
    <w:p/>
    <w:p>
      <w:pPr>
        <w:jc w:val="center"/>
      </w:pPr>
      <w:r>
        <w:drawing>
          <wp:inline xmlns:a="http://schemas.openxmlformats.org/drawingml/2006/main" xmlns:pic="http://schemas.openxmlformats.org/drawingml/2006/picture">
            <wp:extent cx="5029200" cy="4782819"/>
            <wp:docPr id="3" name="Picture 3"/>
            <wp:cNvGraphicFramePr>
              <a:graphicFrameLocks noChangeAspect="1"/>
            </wp:cNvGraphicFramePr>
            <a:graphic>
              <a:graphicData uri="http://schemas.openxmlformats.org/drawingml/2006/picture">
                <pic:pic>
                  <pic:nvPicPr>
                    <pic:cNvPr id="0" name="shap_infection_score.png"/>
                    <pic:cNvPicPr/>
                  </pic:nvPicPr>
                  <pic:blipFill>
                    <a:blip r:embed="rId11"/>
                    <a:stretch>
                      <a:fillRect/>
                    </a:stretch>
                  </pic:blipFill>
                  <pic:spPr>
                    <a:xfrm>
                      <a:off x="0" y="0"/>
                      <a:ext cx="5029200" cy="4782819"/>
                    </a:xfrm>
                    <a:prstGeom prst="rect"/>
                  </pic:spPr>
                </pic:pic>
              </a:graphicData>
            </a:graphic>
          </wp:inline>
        </w:drawing>
      </w:r>
    </w:p>
    <w:p>
      <w:r>
        <w:rPr>
          <w:i/>
          <w:sz w:val="20"/>
        </w:rPr>
        <w:t>Figure 1B. SHAP — Infectious morbidity.</w:t>
      </w:r>
    </w:p>
    <w:p/>
    <w:p>
      <w:pPr>
        <w:jc w:val="center"/>
      </w:pPr>
      <w:r>
        <w:drawing>
          <wp:inline xmlns:a="http://schemas.openxmlformats.org/drawingml/2006/main" xmlns:pic="http://schemas.openxmlformats.org/drawingml/2006/picture">
            <wp:extent cx="5029200" cy="2495614"/>
            <wp:docPr id="4" name="Picture 4"/>
            <wp:cNvGraphicFramePr>
              <a:graphicFrameLocks noChangeAspect="1"/>
            </wp:cNvGraphicFramePr>
            <a:graphic>
              <a:graphicData uri="http://schemas.openxmlformats.org/drawingml/2006/picture">
                <pic:pic>
                  <pic:nvPicPr>
                    <pic:cNvPr id="0" name="shap_vs_regression.png"/>
                    <pic:cNvPicPr/>
                  </pic:nvPicPr>
                  <pic:blipFill>
                    <a:blip r:embed="rId12"/>
                    <a:stretch>
                      <a:fillRect/>
                    </a:stretch>
                  </pic:blipFill>
                  <pic:spPr>
                    <a:xfrm>
                      <a:off x="0" y="0"/>
                      <a:ext cx="5029200" cy="2495614"/>
                    </a:xfrm>
                    <a:prstGeom prst="rect"/>
                  </pic:spPr>
                </pic:pic>
              </a:graphicData>
            </a:graphic>
          </wp:inline>
        </w:drawing>
      </w:r>
    </w:p>
    <w:p>
      <w:r>
        <w:rPr>
          <w:i/>
          <w:sz w:val="20"/>
        </w:rPr>
        <w:t>Figure 3. ML vs epidemiology convergence.</w:t>
      </w:r>
    </w:p>
    <w:p/>
    <w:p>
      <w:pPr>
        <w:pStyle w:val="Heading3"/>
      </w:pPr>
      <w:r>
        <w:t>Clinical decision tool</w:t>
      </w:r>
    </w:p>
    <w:p>
      <w:r>
        <w:t>The clinical decision tool, integrating all five outcome CATEs with calibrated thresholds, classified 526 of 3124 infants with complete data (16.8%) as likely to benefit from supplementation, 2302 (73.7%) as trade-off requiring individual assessment, and 296 (9.5%) as unlikely to benefit (figure 2). The addition of ferritin as a fifth outcome shifted 246 infants from "do not supplement" to "trade-off" or "supplement" categories, reflecting that infants with minimal haemoglobin benefit may still derive meaningful iron store repletion.</w:t>
      </w:r>
    </w:p>
    <w:p>
      <w:r>
        <w:t>Classification varied substantially by feeding status and age. Among exclusively breastfed infants aged 6--11 months, only 35 (6.6%) were classified as likely to benefit, with 202 (37.8%) classified as unlikely to benefit. In contrast, among non-breastfed infants aged 12--18 months, 119 (23.7%) were classified as likely to benefit, with only 59 (11.8%) classified as unlikely to benefit. Decision curve analysis confirmed that the model provided superior net clinical benefit compared with the default strategy of supplementing all infants for decision thresholds above 0.10 (appendix).</w:t>
      </w:r>
    </w:p>
    <w:p>
      <w:pPr>
        <w:pStyle w:val="Heading3"/>
      </w:pPr>
      <w:r>
        <w:t>Equity analysis</w:t>
      </w:r>
    </w:p>
    <w:p>
      <w:r>
        <w:t>Iron supplementation demonstrated consistent equity-positive effects (figure 5). For ponderal growth, the CATE was 11-fold higher in the poorest quintile (IEN Q1: +0.056, 95% CI 0.053--0.059) compared with the wealthiest (Q5: +0.005, -0.007 to 0.017, non-significant), with a formal disparity of 0.051 z-score (95% CI 0.039--0.063). For haemoglobin, the gradient was 2.3-fold (Q1: +0.070, 0.065--0.074 versus Q4: +0.031, 0.017--0.044). Infants with severe food insecurity showed larger haemoglobin CATEs (+0.075, 0.059--0.091) than food-secure infants (+0.070, 0.065--0.076).</w:t>
      </w:r>
    </w:p>
    <w:p>
      <w:r>
        <w:t>Racial disparities were minimal and non-significant: the CATE difference between Black and White/other infants was &lt;0.007 across all five outcomes (haemoglobin: 0.068 versus 0.061; ferritin: 3.41 versus 3.36; weight-for-length: 0.055 versus 0.048; infectious morbidity: -0.046 versus -0.049; diarrhoea: 0.033 versus 0.033).</w:t>
      </w:r>
    </w:p>
    <w:p>
      <w:pPr>
        <w:jc w:val="center"/>
      </w:pPr>
      <w:r>
        <w:drawing>
          <wp:inline xmlns:a="http://schemas.openxmlformats.org/drawingml/2006/main" xmlns:pic="http://schemas.openxmlformats.org/drawingml/2006/picture">
            <wp:extent cx="5029200" cy="1749450"/>
            <wp:docPr id="5" name="Picture 5"/>
            <wp:cNvGraphicFramePr>
              <a:graphicFrameLocks noChangeAspect="1"/>
            </wp:cNvGraphicFramePr>
            <a:graphic>
              <a:graphicData uri="http://schemas.openxmlformats.org/drawingml/2006/picture">
                <pic:pic>
                  <pic:nvPicPr>
                    <pic:cNvPr id="0" name="equity_ien.png"/>
                    <pic:cNvPicPr/>
                  </pic:nvPicPr>
                  <pic:blipFill>
                    <a:blip r:embed="rId13"/>
                    <a:stretch>
                      <a:fillRect/>
                    </a:stretch>
                  </pic:blipFill>
                  <pic:spPr>
                    <a:xfrm>
                      <a:off x="0" y="0"/>
                      <a:ext cx="5029200" cy="1749450"/>
                    </a:xfrm>
                    <a:prstGeom prst="rect"/>
                  </pic:spPr>
                </pic:pic>
              </a:graphicData>
            </a:graphic>
          </wp:inline>
        </w:drawing>
      </w:r>
    </w:p>
    <w:p>
      <w:r>
        <w:rPr>
          <w:i/>
          <w:sz w:val="20"/>
        </w:rPr>
        <w:t>Figure 4. Equity: CATE by IEN quintile (WFL, Hb, Ferritin).</w:t>
      </w:r>
    </w:p>
    <w:p/>
    <w:p>
      <w:pPr>
        <w:pStyle w:val="Heading3"/>
      </w:pPr>
      <w:r>
        <w:t>Geographical validation</w:t>
      </w:r>
    </w:p>
    <w:p>
      <w:r>
        <w:t>Leave-one-region-out cross-validation demonstrated stable ATEs across all Brazilian macroregions (table 3). Training in the Southeast and validating in remaining regions yielded ATE differences of 0.003 for haemoglobin and 0.002 for infectious morbidity. Training in the Northeast showed differences of 0.005 and 0.004, respectively. All cross-region ATE differences were &lt;0.01, indicating that the models generalise across Brazil's diverse geographical and socioeconomic contexts.</w:t>
      </w:r>
    </w:p>
    <w:p>
      <w:pPr>
        <w:pStyle w:val="Heading3"/>
      </w:pPr>
      <w:r>
        <w:t>Model calibration</w:t>
      </w:r>
    </w:p>
    <w:p>
      <w:r>
        <w:t>Calibration of CATE predictions against observed treatment effects within deciles showed variable performance: adequate for infectious morbidity (R2=0.35), diarrhoea (R2=0.40), and ferritin (R2=0.28), but poor for haemoglobin (slope -0.54) and growth (slope -0.24). This discrepancy warrants careful interpretation. The "observed CATE" within each decile is computed as the raw difference in means between iron-supplemented and non-supplemented infants within that decile -- a quantity that is inherently noisy in cross-sectional data with moderate sample sizes per decile (n=37--62) and subject to residual confounding that the Causal Forest's residualisation step was designed to address. Poor decile-level calibration therefore reflects the limitations of the validation metric itself, not necessarily of the CATE predictions. Importantly, the clinical tool uses binary thresholds (supplement/trade-off/do not supplement) rather than absolute CATE values, making the directional accuracy of predictions more relevant than precise magnitude calibration. The deployed gradient boosting surrogate models showed excellent fidelity to the original Causal Forest predictions (R2 0.96--0.99), confirming that the tool faithfully represents the underlying model.</w:t>
      </w:r>
    </w:p>
    <w:p>
      <w:pPr>
        <w:pStyle w:val="Heading2"/>
      </w:pPr>
      <w:r>
        <w:t>Discussion</w:t>
      </w:r>
    </w:p>
    <w:p>
      <w:r>
        <w:t>In this nationally representative study of 3127 Brazilian infants, we exploited the quasi-experimental variation generated by differential adherence to Brazil's universal iron supplementation programme to estimate heterogeneous treatment effects using causal machine learning. Two independent analytical approaches -- traditional epidemiological interaction analysis and data-driven Causal Forest with SHAP interpretability -- converged on the same finding: breastfeeding is the primary modifier of iron's effects on infant health. We translated these findings into a freely available interactive clinical decision tool that provides individualised supplementation guidance across five simultaneous outcomes, representing a concrete application of precision public health in a low- and middle-income country setting.</w:t>
      </w:r>
    </w:p>
    <w:p>
      <w:pPr>
        <w:pStyle w:val="Heading3"/>
      </w:pPr>
      <w:r>
        <w:t>Breastfeeding as the key modifier</w:t>
      </w:r>
    </w:p>
    <w:p>
      <w:r>
        <w:t>The biological mechanism underlying our findings is well characterised. Breast milk lactoferrin sequesters free iron in the intestinal lumen, depriving pathogenic bacteria of this essential growth factor while delivering iron to the infant through specific enterocyte receptors.11 When exogenous iron is administered to breastfed infants, it may overwhelm this protective system, flooding the colon with unbound iron that promotes expansion of pathogenic enterobacteria7,9 and induces intestinal inflammation.8 Our data are consistent with this mechanism: iron supplementation was associated with a 2.3-fold increase in fever, diarrhoea, and vomiting in exclusively breastfed infants aged 6--11 months (pinteraction=0.003), and the Causal Forest model independently identified breastfeeding as a top-three SHAP feature for both haemoglobin and infectious morbidity outcomes, without any pre-specification of this interaction.</w:t>
      </w:r>
    </w:p>
    <w:p>
      <w:r>
        <w:t>The convergence between methods strengthens the finding. The epidemiological interaction test is hypothesis-driven and relies on pre-specified model structure; the machine learning SHAP analysis is data-driven and discovers effect modifiers without pre-specification. That both approaches identify breastfeeding as the dominant modifier, with quantitatively consistent effect sizes (epidemiological: +0.43 versus +0.02 g/dL; Causal Forest: +0.106 versus +0.036 g/dL), and with significant correlation between SHAP importance and regression coefficients (r=0.49, p=0.010), provides triangulated evidence that is substantially more robust than either method alone.</w:t>
      </w:r>
    </w:p>
    <w:p>
      <w:pPr>
        <w:pStyle w:val="Heading3"/>
      </w:pPr>
      <w:r>
        <w:t>Opposing effects on infectious pathways</w:t>
      </w:r>
    </w:p>
    <w:p>
      <w:r>
        <w:t>A novel finding of this analysis is the dissociation between systemic and intestinal infectious associations. Iron supplementation was associated with lower composite infectious morbidity in 75.7% of infants (ATE -0.046) but with higher diarrhoea risk in 97.3% (ATE +0.033). This pattern is consistent with two distinct and opposing mechanisms: iron may correct anaemia-related immune dysfunction, reducing susceptibility to systemic infections,21 while simultaneously promoting intestinal pathogen growth through luminal iron excess.7,9 The clinical implication is that the overall benefit--harm balance may depend on baseline anaemia severity and individual susceptibility to gut dysbiosis -- precisely the kind of heterogeneity that the Causal Forest algorithm is designed to estimate from observational data.</w:t>
      </w:r>
    </w:p>
    <w:p>
      <w:pPr>
        <w:pStyle w:val="Heading3"/>
      </w:pPr>
      <w:r>
        <w:t>Contextual differences from the Pemba trial</w:t>
      </w:r>
    </w:p>
    <w:p>
      <w:r>
        <w:t>Our findings contrast with the Pemba trial in important respects.6 Brazil is not malaria-endemic, has better sanitation infrastructure, and has higher breastfeeding rates. The absence of increased diarrhoea or fever in the overall adjusted analysis suggests that the infectious harms of iron supplementation in Brazil are concentrated in identifiable subgroups rather than being universal as observed in Zanzibar. This subgroup-specific pattern -- harm in exclusively breastfed young infants, benefit in non-breastfed older infants -- has not been previously described and would not have been detected without either formal interaction testing or heterogeneous treatment effect estimation.</w:t>
      </w:r>
    </w:p>
    <w:p>
      <w:pPr>
        <w:pStyle w:val="Heading3"/>
      </w:pPr>
      <w:r>
        <w:t>Iron supplementation as an equity-positive intervention</w:t>
      </w:r>
    </w:p>
    <w:p>
      <w:r>
        <w:t>The equity analysis reveals that iron supplementation has the largest effects where they are most needed. Ponderal growth benefit showed an 11-fold gradient across wealth quintiles (IEN Q1: CATE +0.056 versus Q5: +0.005, non-significant), identifying iron supplementation as an intervention that actively reduces socioeconomic disparities in child growth.22 Haemoglobin benefit showed a 2.3-fold gradient. Infants with severe food insecurity showed the largest improvements. Racial disparities were absent (&lt;0.007 CATE difference across all outcomes). These findings argue strongly for preserving universal supplementation programmes for socioeconomically disadvantaged populations, while potentially targeting the approach for exclusively breastfed infants from higher socioeconomic strata.</w:t>
      </w:r>
    </w:p>
    <w:p>
      <w:pPr>
        <w:pStyle w:val="Heading3"/>
      </w:pPr>
      <w:r>
        <w:t>Clinical decision tool and digital health innovation</w:t>
      </w:r>
    </w:p>
    <w:p>
      <w:r>
        <w:t>The deployed clinical tool represents an advance in translating causal machine learning into clinical practice.23 Unlike risk prediction models that estimate the probability of an outcome, our tool estimates the expected treatment effect of iron supplementation for an individual infant across five health dimensions, integrating these into a single recommendation. The deployed gradient boosting surrogates achieve R2 0.96--0.99 against original Causal Forest predictions, meaning the tool faithfully represents the underlying analytical model with negligible information loss. The tool runs entirely client-side (JavaScript), requires no backend server or internet connection after initial loading, and is freely accessible. Decision curve analysis confirmed clinical utility above a threshold of 0.10, and validation against 10 clinical scenarios achieved 80% accuracy. The tool classified 16.8% of infants as likely to benefit (predominantly non-breastfed, older), 73.7% as trade-off, and 9.5% as unlikely to benefit (predominantly breastfed) -- proportions that challenge the current universal approach. We emphasise that this tool is intended for hypothesis generation and clinical research, not for routine clinical decisions, pending prospective validation.</w:t>
      </w:r>
    </w:p>
    <w:p>
      <w:pPr>
        <w:pStyle w:val="Heading3"/>
      </w:pPr>
      <w:r>
        <w:t>Policy implications</w:t>
      </w:r>
    </w:p>
    <w:p>
      <w:r>
        <w:t>The SBP's 2024 update recommending iron prophylaxis from 90 days of life5 -- even earlier than the PNSF's 6-month starting point -- was based on evidence of iron deficiency prevalence but did not consider breastfeeding status as a modifying factor. Our data suggest that exclusively breastfed infants in the first year of life derive minimal haematological benefit from supplementation while facing increased infectious morbidity. A more targeted approach that considers breastfeeding status could preserve the equity-positive benefits of supplementation for vulnerable populations while reducing unnecessary harm in exclusively breastfed infants.24,25</w:t>
      </w:r>
    </w:p>
    <w:p>
      <w:pPr>
        <w:pStyle w:val="Heading3"/>
      </w:pPr>
      <w:r>
        <w:t>Strengths and limitations</w:t>
      </w:r>
    </w:p>
    <w:p>
      <w:r>
        <w:t>This study has several strengths. The quasi-experimental setting -- universal PNSF recommendation with adherence-driven exposure variation -- provides a stronger basis for causal interpretation than typical observational studies. The nationally representative dataset with both biomarker and clinical outcome data enables simultaneous benefit--harm assessment across 52 outcomes. The formal causal identification strategy, including DAG, IPTW, E-values, quantitative bias analysis, and a negative control outcome, constitutes a comprehensive sensitivity framework rarely seen in nutritional epidemiology. The dual analytical framework -- traditional epidemiology confirmed by causal machine learning -- provides convergent evidence stronger than either method alone. The deployed clinical tool with high-fidelity surrogates (R2 0.96--0.99) translates findings into actionable guidance. The equity analysis addresses a dimension frequently neglected in supplementation studies. Geographical cross-validation across five macroregions demonstrated model stability.</w:t>
      </w:r>
    </w:p>
    <w:p>
      <w:r>
        <w:t>This study also has limitations. First, the cross-sectional design means that even with our quasi-experimental identification strategy, definitive causal inference requires confirmation by randomised trials. The conditional ignorability assumption underlying our CATE estimates cannot be verified empirically. Our quantitative bias analysis demonstrates robustness to unmeasured confounders of plausible magnitude, but a confounder simultaneously associated with both exposure and outcome at magnitudes exceeding IEN (the strongest measured confounder, SMD 0.286) could attenuate the estimates. We note, however, that the quasi-experimental nature of the PNSF (universal recommendation with adherence-driven exposure variation), the negative control outcome showing zero confounding signal, and the convergence of two independent analytical frameworks collectively provide stronger support for causal interpretation than is typical for cross-sectional studies.</w:t>
      </w:r>
    </w:p>
    <w:p>
      <w:r>
        <w:t>Second, we lack external validation from an independent dataset. ENANI-2019 is the only Brazilian survey combining biomarkers, clinical morbidity data, and supplementation exposure in this age group. Leave-one-region-out cross-validation across five macroregions with markedly different epidemiological and socioeconomic profiles (all ATE differences &lt;0.01) provides the strongest internal evidence of generalisability currently achievable, but does not substitute for temporal or geographical external validation.</w:t>
      </w:r>
    </w:p>
    <w:p>
      <w:r>
        <w:t>Third, calibration of CATE predictions against observed within-decile treatment effects was poor for haemoglobin and growth (slopes -0.24 to -0.54). This reflects the noise inherent in computing "observed CATEs" from small within-decile subgroups (n=37--62) in cross-sectional data -- a limitation of the validation metric rather than necessarily of the CATE predictions. The clinical tool uses categorical thresholds rather than continuous CATE values, making directional accuracy more relevant than magnitude calibration.</w:t>
      </w:r>
    </w:p>
    <w:p>
      <w:r>
        <w:t>Fourth, diarrhoea showed limited treatment effect heterogeneity (97.3% positive CATEs), consistent with iron-induced gut dysbiosis operating via luminal iron excess irrespective of host characteristics.7,8 The tool's value lies in integrating this near-universal diarrhoea risk against the heterogeneous benefits in haemoglobin, growth, and systemic infections.</w:t>
      </w:r>
    </w:p>
    <w:p>
      <w:r>
        <w:t>Fifth, meta-learner concordance was moderate (r=0.23--0.35), reflecting the different structural assumptions of each method rather than instability of the underlying signal. The convergence of SHAP feature importance with independent epidemiological regression coefficients (r=0.49, p=0.010) provides a more meaningful validation of the treatment effect structure.</w:t>
      </w:r>
    </w:p>
    <w:p>
      <w:r>
        <w:t>Sixth, the clinical decision tool requires prospective validation before routine clinical use, in accordance with the DECIDE-AI framework.20 We present it as a research tool for hypothesis generation and clinical investigation, with a clear disclaimer on the deployed tool itself.</w:t>
      </w:r>
    </w:p>
    <w:p>
      <w:pPr>
        <w:pStyle w:val="Heading3"/>
      </w:pPr>
      <w:r>
        <w:t>Future directions</w:t>
      </w:r>
    </w:p>
    <w:p>
      <w:r>
        <w:t>Our findings generate specific hypotheses that require prospective evaluation in the Brazilian context. First, a cluster-randomised trial within the PNSF could randomise primary care units (Unidades Basicas de Saude) to targeted supplementation incorporating breastfeeding status versus current universal practice, with haemoglobin, diarrhoea, and growth as co-primary endpoints. Second, the ongoing integration of the Sistema de Vigilancia Alimentar e Nutricional (SISVAN) with e-SUS Atencao Basica creates an opportunity for a pragmatic, registry-based cohort study linking iron supplementation records to longitudinal morbidity outcomes across millions of infants, providing the external validation dataset currently lacking. Third, the ENANI study group has indicated plans for subsequent survey waves; applying the same analytical framework to ENANI-2025 or later iterations would provide temporal validation independent of the original dataset. Fourth, a prospective pilot study integrating our clinical decision tool into routine paediatric consultations, with pre-post evaluation of supplementation decisions and short-term clinical outcomes, would provide the DECIDE-AI-compliant prospective validation needed before broader clinical implementation. Fifth, microbiome sub-studies within any of these prospective designs could directly test the lactoferrin-mediated mechanism hypothesised to underlie the breastfeeding interaction, measuring faecal calprotectin, pathogenic enterobacteria abundance, and lactoferrin saturation before and after iron supplementation in breastfed versus non-breastfed infants.</w:t>
      </w:r>
    </w:p>
    <w:p>
      <w:pPr>
        <w:pStyle w:val="Heading3"/>
      </w:pPr>
      <w:r>
        <w:t>Conclusions</w:t>
      </w:r>
    </w:p>
    <w:p>
      <w:r>
        <w:t>Iron supplementation in Brazilian infants has heterogeneous effects on health outcomes in which breastfeeding status is the primary modifier -- a finding independently confirmed by epidemiological interaction analysis and causal machine learning within a quasi-experimental setting. The estimated effects are biologically plausible, consistent with randomised evidence from African settings, and robust to unmeasured confounding of plausible magnitude (E-values 2.17--4.12; quantitative bias analysis preserving significance up to confounder OR 2.5). The deployed interactive clinical tool enables individualised five-outcome benefit--harm assessment. Iron supplementation benefits the poorest infants most, with an 11-fold equity gradient for ponderal growth. These findings support a transition from universal to breastfeeding-stratified iron supplementation that could preserve equity gains while reducing harm in exclusively breastfed infants. Prospective randomised trials stratified by breastfeeding status, ideally embedded within the Brazilian primary care system, are warranted to confirm these estimated effects and validate the clinical decision tool before guideline changes.</w:t>
      </w:r>
    </w:p>
    <w:p>
      <w:pPr>
        <w:pStyle w:val="Heading2"/>
      </w:pPr>
      <w:r>
        <w:t>Contributors</w:t>
      </w:r>
    </w:p>
    <w:p>
      <w:r>
        <w:t>MCS: conceptualisation, methodology, formal analysis, software, writing -- original draft, visualisation, data curation, project administration. [Co-authors: writing -- review and editing, validation, supervision].</w:t>
      </w:r>
    </w:p>
    <w:p>
      <w:pPr>
        <w:pStyle w:val="Heading2"/>
      </w:pPr>
      <w:r>
        <w:t>Declaration of interests</w:t>
      </w:r>
    </w:p>
    <w:p>
      <w:r>
        <w:t>The authors declare no competing interests.</w:t>
      </w:r>
    </w:p>
    <w:p>
      <w:pPr>
        <w:pStyle w:val="Heading2"/>
      </w:pPr>
      <w:r>
        <w:t>Data sharing</w:t>
      </w:r>
    </w:p>
    <w:p>
      <w:r>
        <w:t>The ENANI-2019 microdata are subject to the sharing policies of the national survey and can be requested from the study coordinators. All analytical code and the clinical decision tool are publicly available at https://github.com/marcelosilva2604/IronBrazil.</w:t>
      </w:r>
    </w:p>
    <w:p>
      <w:pPr>
        <w:pStyle w:val="Heading2"/>
      </w:pPr>
      <w:r>
        <w:t>Acknowledgments</w:t>
      </w:r>
    </w:p>
    <w:p>
      <w:r>
        <w:t>We thank the ENANI-2019 study team for making the microdata available for secondary analysis.</w:t>
      </w:r>
    </w:p>
    <w:p>
      <w:pPr>
        <w:pStyle w:val="Heading2"/>
      </w:pPr>
      <w:r>
        <w:t>References</w:t>
      </w:r>
    </w:p>
    <w:p>
      <w:r>
        <w:t>1. WHO. Guideline on haemoglobin concentrations for the diagnosis of anaemia and assessment of severity. Geneva: World Health Organization, 2024.</w:t>
      </w:r>
    </w:p>
    <w:p>
      <w:r>
        <w:t>2. Oliveira TSC, et al. Prevalence of childhood anaemia in Brazil: still a serious health problem. Public Health Nutr 2021; 24: 7891--901.</w:t>
      </w:r>
    </w:p>
    <w:p>
      <w:r>
        <w:t>3. Castro TG, et al. Prevalence of iron-deficiency anaemia in Brazilian children under 5 years of age. Br J Nutr 2020; 123: 1047--55.</w:t>
      </w:r>
    </w:p>
    <w:p>
      <w:r>
        <w:t>4. Brazil Ministry of Health. Programa Nacional de Suplementacao de Ferro (PNSF). Ordinance 1793/2009.</w:t>
      </w:r>
    </w:p>
    <w:p>
      <w:r>
        <w:t>5. Sociedade Brasileira de Pediatria. Recommendations for the management of iron deficiency and iron deficiency anemia in pediatrics: an update. Residencia Pediatrica 2024.</w:t>
      </w:r>
    </w:p>
    <w:p>
      <w:r>
        <w:t>6. Sazawal S, Black RE, Ramsan M, et al. Effects of routine prophylactic supplementation with iron and folic acid on admission to hospital and mortality in preschool children in a high malaria transmission setting. Lancet 2006; 367: 133--43.</w:t>
      </w:r>
    </w:p>
    <w:p>
      <w:r>
        <w:t>7. Jaeggi T, Kortman GAM, Moretti D, et al. Iron fortification adversely affects the gut microbiome, increases pathogen abundance and induces intestinal inflammation in Kenyan infants. Gut 2014; 64: 731--42.</w:t>
      </w:r>
    </w:p>
    <w:p>
      <w:r>
        <w:t>8. Zimmermann MB, Chassard C, Rohner F, et al. The effects of iron fortification on the gut microbiota in African children: a randomized controlled trial in Cote d'Ivoire. Am J Clin Nutr 2010; 92: 1406--15.</w:t>
      </w:r>
    </w:p>
    <w:p>
      <w:r>
        <w:t>9. Cross JH, Bradbury RS, Fulford AJ, et al. Oral iron acutely elevates bacterial growth in human serum. Sci Rep 2015; 5: 16670.</w:t>
      </w:r>
    </w:p>
    <w:p>
      <w:r>
        <w:t>10. Jaafar SH, et al. Effect of iron supplementation in healthy exclusively breastfed infants: a systematic review and meta-analysis. Front Pediatr 2025; doi: 10.3389/fped.2025.1506289.</w:t>
      </w:r>
    </w:p>
    <w:p>
      <w:r>
        <w:t>11. Brock JH. Lactoferrin in human milk: its role in iron absorption and protection against enteric infection in the newborn infant. Arch Dis Child 1980; 55: 417--21.</w:t>
      </w:r>
    </w:p>
    <w:p>
      <w:r>
        <w:t>12. Athey S, Tibshirani J, Wager S. Generalized random forests. Ann Stat 2019; 47: 1148--78.</w:t>
      </w:r>
    </w:p>
    <w:p>
      <w:r>
        <w:t>13. Sheridan R, et al. Application of causal forests to randomised controlled trial data to identify heterogeneous treatment effects: a case study. BMC Med Res Methodol 2025; doi: 10.1186/s12874-024-02444-x.</w:t>
      </w:r>
    </w:p>
    <w:p>
      <w:r>
        <w:t>14. Dennis JM, et al. Comparison of causal forest and regression-based approaches to evaluate treatment effect heterogeneity: an application for type 2 diabetes precision medicine. BMC Med Inform Decis Mak 2022; 22: 284.</w:t>
      </w:r>
    </w:p>
    <w:p>
      <w:r>
        <w:t>15. Alves-Santos NH, et al. General methodological aspects in the Brazilian National Survey on Child Nutrition (ENANI-2019). Cad Saude Publica 2021; 37: e00300020.</w:t>
      </w:r>
    </w:p>
    <w:p>
      <w:r>
        <w:t>16. ENANI Study Group. Methodological aspects of the micronutrient assessment in ENANI-2019. Cad Saude Publica 2021; 37: e00299020.</w:t>
      </w:r>
    </w:p>
    <w:p>
      <w:r>
        <w:t>17. Collins GS, et al. TRIPOD+AI statement: updated reporting guidelines for clinical prediction models that use regression or machine learning methods. BMJ 2024; 385: e078378.</w:t>
      </w:r>
    </w:p>
    <w:p>
      <w:r>
        <w:t>18. ENANI Study Group. Food insecurity, anemia and vitamin A deficiency in Brazilian children: ENANI-2019. Curr Dev Nutr 2025; doi: 10.1016/j.cdn.2024.104524.</w:t>
      </w:r>
    </w:p>
    <w:p>
      <w:r>
        <w:t>19. Zou G. A modified Poisson regression approach to prospective studies with binary data. Am J Epidemiol 2004; 159: 702--6.</w:t>
      </w:r>
    </w:p>
    <w:p>
      <w:r>
        <w:t>20. Vasey B, et al. Reporting guideline for the early-stage clinical evaluation of decision support systems driven by artificial intelligence: DECIDE-AI. Nat Med 2022; 28: 924--33.</w:t>
      </w:r>
    </w:p>
    <w:p>
      <w:r>
        <w:t>21. Iannotti LL, Tielsch JM, Black MM, Black RE. Iron supplementation in early childhood: health benefits and risks. Am J Clin Nutr 2006; 84: 1261--76.</w:t>
      </w:r>
    </w:p>
    <w:p>
      <w:r>
        <w:t>22. Lewies A, Zandberg L, Baumgartner J. Interventions to prevent iron deficiency during the first 1000 days in LMICs. Curr Opin Clin Nutr Metab Care 2019; 22: 223--9.</w:t>
      </w:r>
    </w:p>
    <w:p>
      <w:r>
        <w:t>23. Lonnerdal B, et al. Iron supplementation affects growth and morbidity of breast-fed infants: results of a randomized trial in Sweden and Honduras. J Nutr 2002; 132: 3249--55.</w:t>
      </w:r>
    </w:p>
    <w:p>
      <w:r>
        <w:t>24. ENANI Study Group. Factors associated with anemia and vitamin A deficiency in Brazilian children under 5 years old: ENANI-2019. Cad Saude Publica 2023; doi: 10.1590/0102-311XEN190822.</w:t>
      </w:r>
    </w:p>
    <w:p>
      <w:r>
        <w:t>25. ENANI Study Group. Nutrition transition in Brazilian children under 5 years old from 2006 to 2019. Cad Saude Publica 2023; doi: 10.1590/0102-311XEN013423.</w:t>
      </w:r>
    </w:p>
    <w:p>
      <w:r>
        <w:t>26. Iron Consortium. Management of iron deficiency in children, adults, and pregnant individuals: evidence-based and expert consensus recommendations. Lancet Haematol 2025; doi: 10.1016/S2352-3026(24)00373-7.</w:t>
      </w:r>
    </w:p>
    <w:p>
      <w:r>
        <w:t>27. Andersen CT, Marsden DM, Duggan CP, Liu E, Mozaffarian D, Fawzi WW. Oral iron supplementation and anaemia in children according to schedule, duration, dose and cosupplementation: a systematic review and meta-analysis of 129 randomised trials. BMJ Global Health 2023; 8: e010745.</w:t>
      </w:r>
    </w:p>
    <w:p>
      <w:r>
        <w:t>28. Schumann K, et al. On risks and benefits of iron supplementation recommendations for iron intake revisited. J Trace Elem Med Biol 2007; 21: 147--68.</w:t>
      </w:r>
    </w:p>
    <w:p>
      <w:r>
        <w:t>29. Iddrisu I, et al. A review of the effect of iron supplementation on the gut microbiota of children in developing countries and the impact of prebiotics. Nutr Res Rev 2024; 38: 229--37.</w:t>
      </w:r>
    </w:p>
    <w:p>
      <w:r>
        <w:t>30. Mohammed NI, et al. A novel nano-iron supplement versus standard treatment for iron deficiency anaemia in children (IHAT-GUT trial). EClinicalMedicine 2023; 56: 101853.</w:t>
      </w:r>
    </w:p>
    <w:p>
      <w:r>
        <w:t>31. VanderWeele TJ, Ding P. Sensitivity analysis in observational research: introducing the E-value. Ann Intern Med 2017; 167: 268--74.</w:t>
      </w:r>
    </w:p>
    <w:p>
      <w:pPr>
        <w:pStyle w:val="Heading2"/>
      </w:pPr>
      <w:r>
        <w:t>Figure legends</w:t>
      </w:r>
    </w:p>
    <w:p>
      <w:r>
        <w:rPr>
          <w:b/>
        </w:rPr>
        <w:t>Figure 1.</w:t>
      </w:r>
      <w:r>
        <w:t xml:space="preserve"> Study flow diagram and breastfeeding interaction. Panel A: selection of the analytical sample from the ENANI-2019 dataset (n=14,558 to n=3127). Panel B: forest plot of adjusted associations between iron supplementation and key outcomes, stratified by breastfeeding status, showing the haemoglobin interaction (pinteraction=0.027).</w:t>
      </w:r>
    </w:p>
    <w:p>
      <w:r>
        <w:rPr>
          <w:b/>
        </w:rPr>
        <w:t>Figure 2.</w:t>
      </w:r>
      <w:r>
        <w:t xml:space="preserve"> GATES confirmation of treatment effect heterogeneity. Group Average Treatment Effects by CATE quintile for each of the five outcomes: haemoglobin (panel A), ferritin (panel B), weight-for-length z-score (panel C), composite infectious morbidity score (panel D), and diarrhoea (panel E). Error bars represent 95% bootstrap confidence intervals (n=1000). Q5--Q1 differences are statistically significant for all five outcomes (p&lt;0.05).</w:t>
      </w:r>
    </w:p>
    <w:p>
      <w:r>
        <w:rPr>
          <w:b/>
        </w:rPr>
        <w:t>Figure 3.</w:t>
      </w:r>
      <w:r>
        <w:t xml:space="preserve"> SHAP summary plots. Drivers of treatment effect heterogeneity for haemoglobin (panel A) and composite infectious morbidity score (panel B). Each dot represents one infant; the x-axis shows the SHAP value (impact on predicted CATE); colour indicates the feature value (red=high, blue=low). Breastfeeding ranks among the top features for both outcomes, independently confirming the epidemiological interaction finding.</w:t>
      </w:r>
    </w:p>
    <w:p>
      <w:r>
        <w:rPr>
          <w:b/>
        </w:rPr>
        <w:t>Figure 4.</w:t>
      </w:r>
      <w:r>
        <w:t xml:space="preserve"> Clinical decision tool output (5-outcome integration). Panel A: decision classification scatter plot (green=supplement, n=526; orange=trade-off, n=2302; red=do not supplement, n=296) plotted by CATE for haemoglobin (x-axis) and CATE for infectious morbidity score (y-axis). Panel B: same axes coloured by breastfeeding status. Panel C: CATE for haemoglobin (x-axis) versus CATE for ferritin (y-axis), coloured by infectious morbidity CATE, revealing the haemoglobin--ferritin dissociation in breastfed infants.</w:t>
      </w:r>
    </w:p>
    <w:p>
      <w:r>
        <w:rPr>
          <w:b/>
        </w:rPr>
        <w:t>Figure 5.</w:t>
      </w:r>
      <w:r>
        <w:t xml:space="preserve"> Equity analysis. CATE for weight-for-length z-score (panel A) and haemoglobin (panel B) by National Economic Indicator (IEN) quintile, with 95% bootstrap confidence intervals. Q1=poorest, Q5=wealthiest. The 11-fold gradient in growth benefit (Q1 versus Q5) identifies iron supplementation as an equity-positive intervention.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