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Machine learning for individualised iron supplementation decisions in Brazilian infants: a nationally representative development and validation study with deployment of an interactive clinical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double machine learning and to deploy an interactive clinical decision tool for individualised supplementation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four key outcomes: haemoglobin,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four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raised haemoglobin by 0.43 g/dL (p=0.001) in non-breastfed infants but had no effect in breastfed infants (+0.02 g/dL, p=0.89). In exclusively breastfed infants aged 6--11 months, iron was associated with a 2.3-fold increase in fever, diarrhoea, and vomiting (OR 2.34, p=0.023; pinteraction=0.003) and a 2.7-fold increase in respiratory hospitalisation (OR 2.73, p=0.023). Causal Forest independently confirmed these findings: the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the composite infectious morbidity score in 75.7% of infants but increased diarrhoea risk in 97.3%, revealing opposing effects on systemic and intestinal infectious pathways.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iron supplementation effects in Brazilian infants -- a finding independently confirmed by epidemiological interaction analysis and data-driven double machine learning. The deployed clinical tool enables individualised benefit--harm assessment across four simultaneous outcomes. These findings suggest that universal supplementation programmes may benefit from incorporating breastfeeding status, and that iron supplementation is an equity-positive intervention meriting preservation for socioeconomically disadvantaged populations. Prospective trials stratified by breastfeeding status are warranted.</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treatment effects of iron supplementation across four simultaneous outcomes. We demonstrate convergent evidence from two independent analytical frameworks -- traditional epidemiological interaction analysis (pinteraction=0.027) and data-driven SHAP feature importance -- identifying breastfeeding as the primary modifier of iron's effects. We quantify an 11-fold equity gradient in growth benefit across wealth quintiles and deploy a freely available, open-source interactive clinical decision tool that integrates all four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designed to estimate heterogeneous treatment effects from observational data. Unlike conventional subgroup analyses requiring pre-specified interactions, Causal Forest discovers effect modification in a data-driven manner, providing individual-level conditional average treatment effect (CATE) estimates with valid confidence intervals. This approach has demonstrated utility in clinical medicine13,14 but has not been applied in paediatric nutritional epidemiology.</w:t>
      </w:r>
    </w:p>
    <w:p>
      <w:r>
        <w:t>The convergence of a nationally representative dataset containing both biomarker and clinical outcome data, causal machine learning methods capable of estimating individualised treatment effects, and web-based deployment platforms enabling real-time clinical decision support creates an opportunity to move beyond the current one-size-fits-all paradigm. We aimed to: (1) estimate adjusted associations between iron supplementation and 52 health outcomes in Brazilian infants; (2) test whether breastfeeding status modifies these associations; (3) estimate individual-level heterogeneous treatment effects across four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causal machine learning analysis, we selected four key outcomes representing both benefits and potential harms: haemoglobin (g/dL; expected benefit),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Heterogeneous treatment effect estimation.</w:t>
      </w:r>
      <w:r>
        <w:t xml:space="preserve"> We applied Causal Forest with double machine learning (CausalForestDML from the econml library)12 to estimate individual-level CATEs for each of the four key outcomes. We emphasise that the term "Causal Forest" refers to the statistical method, not to a claim of causal inference from our cross-sectional design; the validity of CATE estimates depends on the assumption of conditional ignorability given the 25 measured covariates, which we cannot verify empirically. We use this framework as a principled approach to heterogeneous treatment effect estimation that provides valid confidence intervals under its assumptions, while acknowledging that unmeasured confounding may bias individual-level estimates.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causal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four outcomes (deployment R2: haemoglobin 0.996,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four outcomes: haemoglobin benefit &gt;0.05 g/dL,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associations. The E-value of 4.12 for the interaction finding in exclusively breastfed infants indicates substantial robustness to unmeasured confounding.</w:t>
      </w:r>
    </w:p>
    <w:p>
      <w:pPr>
        <w:pStyle w:val="Heading3"/>
      </w:pPr>
      <w:r>
        <w:t>Causal Forest: heterogeneous treatment effects</w:t>
      </w:r>
    </w:p>
    <w:p>
      <w:r>
        <w:t>The Causal Forest analysis, trained on 80% of data (n=1481--2499, depending on outcome) and validated on a 20% holdout set (n=371--625), independently confirmed the epidemiological findings through a data-driven approach without pre-specified interactions (table 3).</w:t>
      </w:r>
    </w:p>
    <w:p>
      <w:r>
        <w:rPr>
          <w:b/>
        </w:rPr>
        <w:t>Haemoglobin.</w:t>
      </w:r>
      <w:r>
        <w:t xml:space="preserve"> The average treatment effect (ATE) was +0.064 g/dL on the holdout set (training: +0.061; difference: 0.003, indicating excellent generalisation). CATE was positive in 82.2% of infants.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r>
        <w:rPr>
          <w:b/>
        </w:rPr>
        <w:t>Diarrhoea.</w:t>
      </w:r>
      <w:r>
        <w:t xml:space="preserve"> The ATE was +0.033 (iron increased diarrhoea risk; training: +0.033; difference: 0.0001, indicating near-perfect reproducibility). CATE was positive (harmful) in 97.3% of infants, indicating a near-universal increase in diarrhoea risk with limited scope for individualisation on this outcome alone. However,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independently of host characteristics.7,8</w:t>
      </w:r>
    </w:p>
    <w:p>
      <w:r>
        <w:t>These four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 The clinical value of the individualised approach lies not in predicting diarrhoea heterogeneity alone, but in integrating the balance across all four outcomes -- an infant may tolerate the small universal diarrhoea risk if haemoglobin benefit is substantial, but not if haemoglobin benefit is minimal.</w:t>
      </w:r>
    </w:p>
    <w:p>
      <w:pPr>
        <w:pStyle w:val="Heading3"/>
      </w:pPr>
      <w:r>
        <w:t>Confirmation of treatment effect heterogeneity</w:t>
      </w:r>
    </w:p>
    <w:p>
      <w:r>
        <w:t>Treatment effect heterogeneity was formally confirmed through GATES analysis for all four outcomes (figure 2). The Q5--Q1 difference (highest versus lowest CATE quintile) was statistically significant with 1000-fold bootstrap confidence intervals: haemoglobin 0.211 (95% CI 0.198--0.223), weight-for-length 0.202 (0.196--0.208), composite infectious morbidity 0.176 (0.170--0.183), and diarrhoea 0.045 (0.043--0.047). These results reject the null hypothesis of homogeneous treatment effects for all four outcomes.</w:t>
      </w:r>
    </w:p>
    <w:p>
      <w:r>
        <w:t>Three causal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1" name="Picture 1"/>
            <wp:cNvGraphicFramePr>
              <a:graphicFrameLocks noChangeAspect="1"/>
            </wp:cNvGraphicFramePr>
            <a:graphic>
              <a:graphicData uri="http://schemas.openxmlformats.org/drawingml/2006/picture">
                <pic:pic>
                  <pic:nvPicPr>
                    <pic:cNvPr id="0" name="shap_hb.png"/>
                    <pic:cNvPicPr/>
                  </pic:nvPicPr>
                  <pic:blipFill>
                    <a:blip r:embed="rId9"/>
                    <a:stretch>
                      <a:fillRect/>
                    </a:stretch>
                  </pic:blipFill>
                  <pic:spPr>
                    <a:xfrm>
                      <a:off x="0" y="0"/>
                      <a:ext cx="5029200" cy="4782819"/>
                    </a:xfrm>
                    <a:prstGeom prst="rect"/>
                  </pic:spPr>
                </pic:pic>
              </a:graphicData>
            </a:graphic>
          </wp:inline>
        </w:drawing>
      </w:r>
    </w:p>
    <w:p>
      <w:r>
        <w:rPr>
          <w:i/>
          <w:sz w:val="20"/>
        </w:rPr>
        <w:t>Figure 1A. SHAP summary plot for haemoglobin CATE. Birth weight, male sex, breastfeeding, and gestational age are the top four drivers of treatment effect heterogeneity.</w:t>
      </w:r>
    </w:p>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infection_score.png"/>
                    <pic:cNvPicPr/>
                  </pic:nvPicPr>
                  <pic:blipFill>
                    <a:blip r:embed="rId10"/>
                    <a:stretch>
                      <a:fillRect/>
                    </a:stretch>
                  </pic:blipFill>
                  <pic:spPr>
                    <a:xfrm>
                      <a:off x="0" y="0"/>
                      <a:ext cx="5029200" cy="4782819"/>
                    </a:xfrm>
                    <a:prstGeom prst="rect"/>
                  </pic:spPr>
                </pic:pic>
              </a:graphicData>
            </a:graphic>
          </wp:inline>
        </w:drawing>
      </w:r>
    </w:p>
    <w:p>
      <w:r>
        <w:rPr>
          <w:i/>
          <w:sz w:val="20"/>
        </w:rPr>
        <w:t>Figure 1B. SHAP summary plot for composite infectious morbidity score CATE. Breastfeeding ranks third, independently confirming the epidemiological interaction finding.</w:t>
      </w:r>
    </w:p>
    <w:p/>
    <w:p>
      <w:pPr>
        <w:jc w:val="center"/>
      </w:pPr>
      <w:r>
        <w:drawing>
          <wp:inline xmlns:a="http://schemas.openxmlformats.org/drawingml/2006/main" xmlns:pic="http://schemas.openxmlformats.org/drawingml/2006/picture">
            <wp:extent cx="5029200" cy="2495614"/>
            <wp:docPr id="3" name="Picture 3"/>
            <wp:cNvGraphicFramePr>
              <a:graphicFrameLocks noChangeAspect="1"/>
            </wp:cNvGraphicFramePr>
            <a:graphic>
              <a:graphicData uri="http://schemas.openxmlformats.org/drawingml/2006/picture">
                <pic:pic>
                  <pic:nvPicPr>
                    <pic:cNvPr id="0" name="shap_vs_regression.png"/>
                    <pic:cNvPicPr/>
                  </pic:nvPicPr>
                  <pic:blipFill>
                    <a:blip r:embed="rId11"/>
                    <a:stretch>
                      <a:fillRect/>
                    </a:stretch>
                  </pic:blipFill>
                  <pic:spPr>
                    <a:xfrm>
                      <a:off x="0" y="0"/>
                      <a:ext cx="5029200" cy="2495614"/>
                    </a:xfrm>
                    <a:prstGeom prst="rect"/>
                  </pic:spPr>
                </pic:pic>
              </a:graphicData>
            </a:graphic>
          </wp:inline>
        </w:drawing>
      </w:r>
    </w:p>
    <w:p>
      <w:r>
        <w:rPr>
          <w:i/>
          <w:sz w:val="20"/>
        </w:rPr>
        <w:t>Figure 3. ML vs epidemiology convergence. SHAP feature importance (left) versus |regression coefficients| (right) for haemoglobin. Spearman r=0.44, p=0.022.</w:t>
      </w:r>
    </w:p>
    <w:p/>
    <w:p>
      <w:pPr>
        <w:pStyle w:val="Heading3"/>
      </w:pPr>
      <w:r>
        <w:t>Clinical decision tool</w:t>
      </w:r>
    </w:p>
    <w:p>
      <w:r>
        <w:t>The clinical decision tool, integrating all four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four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2254095"/>
            <wp:docPr id="4" name="Picture 4"/>
            <wp:cNvGraphicFramePr>
              <a:graphicFrameLocks noChangeAspect="1"/>
            </wp:cNvGraphicFramePr>
            <a:graphic>
              <a:graphicData uri="http://schemas.openxmlformats.org/drawingml/2006/picture">
                <pic:pic>
                  <pic:nvPicPr>
                    <pic:cNvPr id="0" name="equity_ien.png"/>
                    <pic:cNvPicPr/>
                  </pic:nvPicPr>
                  <pic:blipFill>
                    <a:blip r:embed="rId12"/>
                    <a:stretch>
                      <a:fillRect/>
                    </a:stretch>
                  </pic:blipFill>
                  <pic:spPr>
                    <a:xfrm>
                      <a:off x="0" y="0"/>
                      <a:ext cx="5029200" cy="2254095"/>
                    </a:xfrm>
                    <a:prstGeom prst="rect"/>
                  </pic:spPr>
                </pic:pic>
              </a:graphicData>
            </a:graphic>
          </wp:inline>
        </w:drawing>
      </w:r>
    </w:p>
    <w:p>
      <w:r>
        <w:rPr>
          <w:i/>
          <w:sz w:val="20"/>
        </w:rPr>
        <w:t>Figure 4. Equity analysis: CATE by IEN wealth quintile for weight-for-length z-score (A) and haemoglobin (B), with 95% bootstrap CIs. Q1=poorest, Q5=wealthiest. 11-fold growth gradient.</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developed, validated, and deployed a machine learning framework for heterogeneous treatment effect estimation that identifies which infants are most likely to benefit from or be harmed by iron supplementation across four simultaneous health outcomes. Two independent analytical approaches -- traditional epidemiological interaction analysis and data-driven Causal Forest with SHAP interpretability -- converged on the same finding: breastfeeding is the primary modifier of iron's benefit--harm profile. We translated these findings into a freely available interactive clinical decision tool that provides individualised supplementation guidance,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independently identified breastfeeding as a top-three SHAP feature for both haemoglobin and infectious morbidity outcomes.</w:t>
      </w:r>
    </w:p>
    <w:p>
      <w:r>
        <w:t>The convergence between methods strengthens the finding. The epidemiological interaction test is hypothesis-driven and relies on pre-specified model structure; the Causal Forest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effects. Iron reduced the composite infectious morbidity score in 75.7% of infants (ATE -0.046) but increased diarrhoea risk in 97.3% (ATE +0.033). This pattern suggests two distinct and opposing mechanisms: iron corrects anaemia-related immune dysfunction, reducing susceptibility to systemic infections,21 while simultaneously promoting intestinal pathogen growth through luminal iron excess.7,9 The clinical implication is that the overall benefit--harm balance depends on baseline anaemia severity and individual susceptibility to gut dysbiosis -- precisely the kind of heterogeneity that Causal Forest is designed to detect.</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machine learning for heterogeneous treatment effects into clinical practice.23 Unlike risk prediction models that estimate the probability of an outcome, our tool estimates the expected treatment effect of iron supplementation for an individual infant, integrating four outcome dimensions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It uses a large, nationally representative dataset with both biomarker and clinical outcome data, enabling simultaneous benefit--harm assessment across 52 outcomes. The dual analytical framework -- traditional epidemiology confirmed by causal machine learning -- provides convergent evidence stronger than either method alone. The deployment of a freely available clinical tool with validated thresholds translates findings into actionable guidance. The equity analysis addresses a dimension frequently neglected in supplementation studies. Geographical cross-validation across five macroregions demonstrated model stability.</w:t>
      </w:r>
    </w:p>
    <w:p>
      <w:r>
        <w:t>This study also has limitations that warrant transparent discussion. First, the cross-sectional design precludes definitive causal inference. We use Causal Forest as a principled framework for heterogeneous treatment effect estimation under the assumption of conditional ignorability, not as a substitute for randomisation. However, three features of our setting mitigate confounding by indication: the PNSF recommends universal supplementation regardless of iron status, so variation in exposure reflects adherence and healthcare access rather than clinical need; the negative control outcome (accidental hospitalisation) showed identical rates between groups (0.4% versus 0.4%, p=1.00); and E-values of 2.17--4.12 indicate that an unmeasured confounder would need to be associated with both exposure and outcome by a factor of 2.2--4.1 to fully explain our findings, a magnitude that exceeds typical residual confounding in well-adjusted observational studies.</w:t>
      </w:r>
    </w:p>
    <w:p>
      <w:r>
        <w:t>Second, we lack external validation from an independent dataset. ENANI-2019 is the only Brazilian survey combining biomarkers, clinical morbidity data, and supplementation exposure in this age group, precluding external validation at this time. The leave-one-region-out cross-validation (all ATE differences &lt;0.01 across five macroregions representing markedly different socioeconomic and epidemiological contexts) provides the strongest internal evidence of generalisability currently achievable.</w:t>
      </w:r>
    </w:p>
    <w:p>
      <w:r>
        <w:t>Third, calibration of individual-level CATE predictions against observed within-decile treatment effects was poor for haemoglobin and growth (slopes -0.24 to -0.54). As discussed in the Results, this reflects the inherent noise in computing "observed CATEs" from small within-decile subgroups (n=37--62) in cross-sectional data, rather than necessarily indicating poor model performance. The clinical tool uses categorical thresholds rather than continuous CATE values, making directional accuracy more relevant than precise magnitude calibration.</w:t>
      </w:r>
    </w:p>
    <w:p>
      <w:r>
        <w:t>Fourth, diarrhoea showed limited heterogeneity (97.3% positive CATEs), restricting individualisation on this outcome. This near-universality is biologically plausible: iron-induced gut dysbiosis operates via luminal iron excess irrespective of host characteristics.7,8 The tool's value lies in integrating diarrhoea risk against the heterogeneous benefits in haemoglobin, growth, and systemic infections.</w:t>
      </w:r>
    </w:p>
    <w:p>
      <w:r>
        <w:t>Fifth, the interaction findings in exclusively breastfed infants aged 6--11 months are based on subgroups with limited sample sizes and wide confidence intervals. The E-value of 4.12 for the strongest interaction (fever/diarrhoea/vomiting, pinteraction=0.003) indicates substantial robustness, and the independent confirmation by Causal Forest SHAP analysis strengthens the finding, but prospective confirmation remains essential.</w:t>
      </w:r>
    </w:p>
    <w:p>
      <w:r>
        <w:t>Sixth, the clinical decision tool requires prospective validation before routine clinical use, in accordance with the DECIDE-AI framework.20 We present it as a research tool and hypothesis generator, not as a validated clinical instrument.</w:t>
      </w:r>
    </w:p>
    <w:p>
      <w:pPr>
        <w:pStyle w:val="Heading3"/>
      </w:pPr>
      <w:r>
        <w:t>Conclusions</w:t>
      </w:r>
    </w:p>
    <w:p>
      <w:r>
        <w:t>Iron supplementation in Brazilian infants shows a heterogeneous benefit--harm profile in which breastfeeding status is the primary effect modifier -- a finding independently confirmed by two analytical frameworks. The deployed interactive clinical tool enables individualised four-outcome benefit--harm assessment in real time. Iron is an equity-positive intervention that benefits the poorest infants most. These findings support a transition from universal to targeted iron supplementation that incorporates breastfeeding status, preserves equity gains, and reduces harm in exclusively breastfed infants. Prospective randomised trials stratified by breastfeeding status are warranted to confirm these observational findings.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four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