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five key outcomes: haemoglobin, ferritin,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five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16.8% of infants as likely to benefit, 73.7% as trade-off, and 9.5%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five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five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five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five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five key outcomes representing both benefits and potential harms: haemoglobin (g/dL; expected benefit), ferritin (ng/mL; expected benefit, as the direct biomarker of iron stores and the primary pharmacological target of supplementation),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five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five outcomes (deployment R2: haemoglobin 0.996, ferritin 0.995,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five outcomes: haemoglobin benefit &gt;0.05 g/dL, ferritin benefit &gt;2.0 ng/mL,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(n=1440--2499, depending on outcome) and validated on a 20% holdout set (n=360--625),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t>Model validation showed excellent train--test stability across all five outcomes (table 3). The ATE difference between training and holdout sets was &lt;0.007 for four of five outcomes (haemoglobin 0.003, weight-for-length 0.007, infectious morbidity 0.004, diarrhoea 0.0001) and 0.06 for ferritin, indicating that the models generalise to unseen data without overfitting. Notably, the nuisance models (outcome and treatment propensity) showed low predictive accuracy for individual outcomes (R2 &lt;0.05 on the holdout set), which is expected in two respects: the outcome models reflect that individual haemoglobin, ferritin, and morbidity values are driven primarily by biological variability not captured by sociodemographic covariates; and the low treatment propensity model accuracy supports the quasi-experimental premise that iron supplementation is not strongly predicted by measured covariates -- consistent with exposure driven by programme adherence rather than clinical indication. In the double machine learning framework, low nuisance model accuracy increases the variance of CATE estimates but does not bias them, as confirmed by the stable train--test generalisation.</w:t>
      </w:r>
    </w:p>
    <w:p>
      <w:r>
        <w:rPr>
          <w:b/>
        </w:rPr>
        <w:t>Haemoglobin.</w:t>
      </w:r>
      <w:r>
        <w:t xml:space="preserve"> The ATE was +0.064 g/dL on the holdout set (training: +0.061; difference: 0.003). CATE ranged from -0.129 to +0.288 g/dL (IQR 0.013 to 0.109), with 82.2% of infants showing positive estimated effects.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Ferritin.</w:t>
      </w:r>
      <w:r>
        <w:t xml:space="preserve"> The ATE was +3.28 ng/mL on the holdout set (training: +3.35; difference: 0.06). CATE ranged from -0.38 to +6.72 ng/mL (IQR 2.23 to 4.46), with 98.1% of infants showing positive estimated effects, indicating near-universal iron store repletion. Younger infants showed the largest estimated benefit (6--11 months: +4.00, 95% bootstrap CI 3.80--4.20 versus 12--18 months: +2.68, 2.48--2.87). Critically, exclusively breastfed infants aged 6--11 months showed the highest ferritin CATEs (+4.10, 3.83--4.36) despite showing the lowest haemoglobin CATEs (+0.023) -- a dissociation consistent with lactoferrin-mediated iron sequestration in the gut limiting systemic bioavailability for erythropoiesis whilst still replenishing hepatic iron stores via the enterocyte lactoferrin receptor pathway.11 Unlike haemoglobin and infectious morbidity, ferritin CATEs did not differ meaningfully by breastfeeding status (breastfed: +3.38 versus non-breastfed: +3.13; ratio 0.9), suggesting that the breastfeeding interaction operates downstream of iron absorption rather than at the level of iron stores. The equity gradient was 1.7-fold (IEN Q1: +3.66, 3.58--3.74 versus Q5: +2.18, 1.84--2.50). GATES confirmed significant heterogeneity (Q5--Q1: 4.25, 95% CI 4.07--4.44).</w:t>
      </w:r>
    </w:p>
    <w:p>
      <w:r>
        <w:rPr>
          <w:b/>
        </w:rPr>
        <w:t>Weight-for-length z-score.</w:t>
      </w:r>
      <w:r>
        <w:t xml:space="preserve"> The ATE was +0.043 z-score (training: +0.050; difference: 0.007). CATE ranged from -0.145 to +0.209 (IQR -0.008 to 0.097), with 72.0% of infants showing positive estimated effects.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ranged from -0.242 to +0.117 (IQR -0.090 to -0.001), with 75.7% of infants showing negative (beneficial) estimated effects. The reduction was three-fold larger in non-breastfed infants (-0.075, 95% CI -0.082 to -0.067) than breastfed infants (-0.025, -0.031 to -0.020), mirroring the haemoglobin interaction. Infants with severe food insecurity showed the largest benefit (-0.058, -0.068 to -0.047).</w:t>
      </w:r>
    </w:p>
    <w:p>
      <w:r>
        <w:rPr>
          <w:b/>
        </w:rPr>
        <w:t>Diarrhoea.</w:t>
      </w:r>
      <w:r>
        <w:t xml:space="preserve"> The ATE was +0.033 (iron increased diarrhoea risk; training: +0.033; difference: 0.0001, indicating near-perfect reproducibility). CATE ranged from -0.011 to +0.080 (IQR 0.023 to 0.043), with 97.3% of infants showing positive (harmful) estimated effects.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via luminal iron excess independently of host characteristics.7,8</w:t>
      </w:r>
    </w:p>
    <w:p>
      <w:r>
        <w:t>These five outcomes reveal a coherent mechanistic picture. Iron replenishes iron stores in virtually all infants (ferritin CATE positive in 98.1%), but the downstream consequences diverge by breastfeeding status: in non-breastfed infants, iron stores translate into haemoglobin improvement (3-fold higher Hb CATE) and reduced systemic infections (3-fold larger infection score reduction), whereas in breastfed infants, lactoferrin sequesters supplemental iron in the gut, limiting haemoglobin benefit while universally increasing diarrhoea risk through pathogen-available luminal iron.9 The clinical value of the individualised approach lies in integrating the balance across all five outcomes -- an infant with substantial haemoglobin and ferritin benefit may tolerate the small universal diarrhoea risk, but an infant with minimal haemoglobin benefit despite adequate ferritin repletion faces risk without commensurate reward.</w:t>
      </w:r>
    </w:p>
    <w:p>
      <w:pPr>
        <w:pStyle w:val="Heading3"/>
      </w:pPr>
      <w:r>
        <w:t>Confirmation of treatment effect heterogeneity</w:t>
      </w:r>
    </w:p>
    <w:p>
      <w:r>
        <w:t>Treatment effect heterogeneity was formally confirmed through GATES analysis for all five outcomes (figure 2). The Q5--Q1 difference (highest versus lowest CATE quintile) was statistically significant with 1000-fold bootstrap confidence intervals: haemoglobin 0.211 (95% CI 0.198--0.223), ferritin 4.250 (4.072--4.440), weight-for-length 0.202 (0.196--0.208), composite infectious morbidity 0.176 (0.170--0.183), and diarrhoea 0.045 (0.043--0.047). These results reject the null hypothesis of homogeneous treatment effects for all five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five outcome CATEs with calibrated thresholds, classified 526 of 3124 infants with complete data (16.8%) as likely to benefit from supplementation, 2302 (73.7%) as trade-off requiring individual assessment, and 296 (9.5%) as unlikely to benefit (figure 2). The addition of ferritin as a fifth outcome shifted 246 infants from "do not supplement" to "trade-off" or "supplement" categories, reflecting that infants with minimal haemoglobin benefit may still derive meaningful iron store repletion.</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five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1749450"/>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1749450"/>
                    </a:xfrm>
                    <a:prstGeom prst="rect"/>
                  </pic:spPr>
                </pic:pic>
              </a:graphicData>
            </a:graphic>
          </wp:inline>
        </w:drawing>
      </w:r>
    </w:p>
    <w:p>
      <w:r>
        <w:rPr>
          <w:i/>
          <w:sz w:val="20"/>
        </w:rPr>
        <w:t>Figure 4. Equity: CATE by IEN quintile (WFL, Hb, Ferritin).</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five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five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16.8% of infants as likely to benefit (predominantly non-breastfed, older), 73.7% as trade-off, and 9.5%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five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(5-outcome integration). Panel A: decision classification scatter plot (green=supplement, n=526; orange=trade-off, n=2302; red=do not supplement, n=296) plotted by CATE for haemoglobin (x-axis) and CATE for infectious morbidity score (y-axis). Panel B: same axes coloured by breastfeeding status. Panel C: CATE for haemoglobin (x-axis) versus CATE for ferritin (y-axis), coloured by infectious morbidity CATE, revealing the haemoglobin--ferritin dissociation in breastfed infants.</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