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four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four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four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(n=1481--2499, depending on outcome) and validated on a 20% holdout set (n=371--625),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 estimated CATE.</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 estimated CATE.</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2254095"/>
                    </a:xfrm>
                    <a:prstGeom prst="rect"/>
                  </pic:spPr>
                </pic:pic>
              </a:graphicData>
            </a:graphic>
          </wp:inline>
        </w:drawing>
      </w:r>
    </w:p>
    <w:p>
      <w:r>
        <w:rPr>
          <w:i/>
          <w:sz w:val="20"/>
        </w:rPr>
        <w:t>Figure 4. Equity: CATE by IEN quintile.</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four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four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