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Estimated heterogeneous effects of iron supplementation on infant health outcomes in Brazil: a quasi-experimental causal machine learning analysis of a nationally representative survey with deployment of an interactive clinical decision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exploiting the quasi-experimental variation generated by differential adherence to Brazil's universal supplementation programme, and to deploy an interactive clinical decision tool for individualised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five key outcomes: haemoglobin, ferritin,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five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improved haemoglobin by +0.43 g/dL (p=0.001) in non-breastfed infants but had no effect in breastfed infants (+0.02 g/dL, p=0.89). In exclusively breastfed infants aged 6--11 months, iron supplementation increased fever, diarrhoea, and vomiting 2.3-fold (OR 2.34, p=0.023; pinteraction=0.003) and respiratory hospitalisation 2.7-fold (OR 2.73, p=0.023). Causal Forest independently confirmed these findings: the conditional average treatment effect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composite infectious morbidity in 75.7% of infants but increased diarrhoea risk in 97.3%, revealing opposing effects on systemic and intestinal infectious pathways. The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iron supplementation effects in Brazilian infants -- a finding independently confirmed by epidemiological interaction analysis and causal machine learning. The quasi-experimental nature of this setting (universal recommendation with adherence-driven exposure variation), convergence across two independent analytical frameworks, biological plausibility through the lactoferrin mechanism, consistency with randomised evidence from African settings, and robustness to unmeasured confounding (E-values 2.17--4.12) collectively strengthen causal interpretation despite the cross-sectional design. The deployed clinical decision tool enables individualised benefit--harm assessment across five simultaneous outcomes and represents a step toward precision public health for iron supplementation in LMICs. Prospective trials stratified by breastfeeding status are warranted to confirm these findings and validate the clinical tool before guideline changes.</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treatment effects of iron supplementation across five simultaneous outcomes, supported by a formal causal identification strategy exploiting the quasi-experimental variation in adherence to Brazil's universal supplementation programme. We demonstrate convergent evidence from two independent analytical frameworks -- traditional epidemiological interaction analysis (pinteraction=0.027) and data-driven SHAP feature importance -- identifying breastfeeding as the primary modifier of iron's effects. We provide a directed acyclic graph, quantitative bias analysis, and negative control outcome to support causal interpretation. We quantify an 11-fold equity gradient in estimated growth effects across wealth quintiles and deploy a freely available, open-source interactive clinical decision tool that integrates all five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 effects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whose causal interpretation rests on the identification strategy detailed in Methods. This approach has demonstrated utility in clinical medicine13,14 but has not been applied in paediatric nutritional epidemiology.</w:t>
      </w:r>
    </w:p>
    <w:p>
      <w:r>
        <w:t>The convergence of a nationally representative dataset containing both biomarker and clinical outcome data, causal machine learning methods capable of estimating individualised treatment effects, and web-based deployment platforms enabling real-time clinical decision support creates an opportunity to move beyond the current one-size-fits-all paradigm. We aimed to: (1) estimate adjusted effects of iron supplementation on 52 health outcomes in Brazilian infants, exploiting the quasi-experimental variation in programme adherence; (2) test whether breastfeeding status modifies these effects; (3) estimate individual-level heterogeneous treatment effects across five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five key outcomes representing both benefits and potential harms: haemoglobin (g/dL; expected benefit), ferritin (ng/mL; expected benefit, as the direct biomarker of iron stores and the primary pharmacological target of supplementation),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Causal identification strategy.</w:t>
      </w:r>
      <w:r>
        <w:t xml:space="preserve"> Our approach to estimating treatment effects rests on a quasi-experimental feature of the Brazilian setting. The PNSF recommends iron supplementation for all infants aged 6--24 months irrespective of iron status, clinical presentation, or feeding practices.4 The policy is universal -- variation in actual supplement use (31.3% adherence) is driven by healthcare access, geographic proximity to primary care units, and maternal health-seeking behaviour, not by clinical indication. This creates a setting analogous to a natural experiment in which the "treatment assignment mechanism" is plausibly independent of health status conditional on observable sociodemographic characteristics (figure 5). We formalise this assumption in a directed acyclic graph (DAG, figure 5) showing the assumed causal structure: iron supplementation is determined by healthcare access and sociodemographic factors (all measured), with breastfeeding as an effect modifier operating through the lactoferrin mechanism, and a residual pathway through unmeasured confounders (U) whose influence we quantify through sensitivity analysis. Five lines of evidence support the plausibility of conditional ignorability in this setting: (1) adjustment for 25 confounders spanning socioeconomic, demographic, obstetric, and geographic domains; (2) IPTW balance with all standardised mean differences &lt;0.03; (3) E-values of 2.17--4.12, indicating that residual confounding would need to exceed the magnitude of the strongest measured confounders to explain our findings; (4) a negative control outcome (accidental hospitalisation, 0.4% versus 0.4%, p=1.00) showing no spurious association through the confounding pathway; and (5) convergence between two independent analytical frameworks (epidemiological regression and data-driven Causal Forest) that make different modelling assumptions but identify the same effect modifiers. We acknowledge that conditional ignorability cannot be verified empirically and that unmeasured confounding -- particularly health-seeking behaviour beyond what is captured by our 25 covariates -- remains a threat to causal interpretation. The quantitative bias analysis below parametrises this threat explicitly.</w:t>
      </w:r>
    </w:p>
    <w:p>
      <w:pPr>
        <w:jc w:val="center"/>
      </w:pPr>
      <w:r>
        <w:drawing>
          <wp:inline xmlns:a="http://schemas.openxmlformats.org/drawingml/2006/main" xmlns:pic="http://schemas.openxmlformats.org/drawingml/2006/picture">
            <wp:extent cx="5029200" cy="3452446"/>
            <wp:docPr id="1" name="Picture 1"/>
            <wp:cNvGraphicFramePr>
              <a:graphicFrameLocks noChangeAspect="1"/>
            </wp:cNvGraphicFramePr>
            <a:graphic>
              <a:graphicData uri="http://schemas.openxmlformats.org/drawingml/2006/picture">
                <pic:pic>
                  <pic:nvPicPr>
                    <pic:cNvPr id="0" name="dag_causal.png"/>
                    <pic:cNvPicPr/>
                  </pic:nvPicPr>
                  <pic:blipFill>
                    <a:blip r:embed="rId9"/>
                    <a:stretch>
                      <a:fillRect/>
                    </a:stretch>
                  </pic:blipFill>
                  <pic:spPr>
                    <a:xfrm>
                      <a:off x="0" y="0"/>
                      <a:ext cx="5029200" cy="3452446"/>
                    </a:xfrm>
                    <a:prstGeom prst="rect"/>
                  </pic:spPr>
                </pic:pic>
              </a:graphicData>
            </a:graphic>
          </wp:inline>
        </w:drawing>
      </w:r>
    </w:p>
    <w:p>
      <w:r>
        <w:rPr>
          <w:i/>
          <w:sz w:val="20"/>
        </w:rPr>
        <w:t>Figure 5. DAG: causal identification strategy.</w:t>
      </w:r>
    </w:p>
    <w:p/>
    <w:p>
      <w:r>
        <w:rPr>
          <w:b/>
        </w:rPr>
        <w:t>Heterogeneous treatment effect estimation.</w:t>
      </w:r>
      <w:r>
        <w:t xml:space="preserve"> We applied Causal Forest with double machine learning (CausalForestDML from the econml library)12 to estimate individual-level conditional average treatment effects (CATEs) for each of the five key outcomes. Under the conditional ignorability assumption articulated above, CATEs represent estimated causal effects of iron supplementation for individual infants; under weaker assumptions, they represent conditional treatment-associated differences that are adjusted for measured confounders but may be biased by unmeasured factors.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five outcomes (deployment R2: haemoglobin 0.996, ferritin 0.995,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five outcomes: haemoglobin benefit &gt;0.05 g/dL, ferritin benefit &gt;2.0 ng/mL,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findings.</w:t>
      </w:r>
    </w:p>
    <w:p>
      <w:r>
        <w:t>To move beyond E-values, we conducted a quantitative bias analysis following the framework of VanderWeele and Ding,31 parametrising the most plausible unmeasured confounder: health-seeking behaviour beyond what is captured by our 25 covariates. We assumed an unmeasured binary confounder (U) with prevalence 30% in the iron-supplemented group and 15% in the non-supplemented group (reflecting that health-seeking mothers are more likely both to supplement and to have healthier infants), and varied its association with the outcome from OR 1.0 to 3.0. For the primary finding of anaemia reduction (OR 0.58), the bias-adjusted OR remained significant (OR &lt;0.85) for all confounder--outcome associations up to OR 2.5. For the breastfeeding interaction finding (pinteraction=0.003), even a confounder with a 2:1 prevalence ratio and OR 3.0 for the outcome reduced the interaction estimate by only 18%, preserving statistical significance at p&lt;0.05. This analysis suggests that the findings are robust to residual confounding of plausible magnitude, though a confounder simultaneously associated with both exposure and outcome at magnitudes exceeding those of our strongest measured confounders (IEN: SMD 0.286 before IPTW) could attenuate the estimates.</w:t>
      </w:r>
    </w:p>
    <w:p>
      <w:r>
        <w:t>The negative control outcome (hospitalisation for accident) showed identical rates between iron-supplemented and non-supplemented groups (0.4% versus 0.4%, p=1.00). With a baseline prevalence of 0.4% and n=3127, this test had approximately 14% power to detect an OR of 2.0 at alpha=0.05, meaning it is reassuring but underpowered to rule out moderate confounding effects. The point estimate of zero difference, combined with the other four lines of evidence in our identification strategy, supports the absence of systematic confounding through the healthcare access pathway.</w:t>
      </w:r>
    </w:p>
    <w:p>
      <w:pPr>
        <w:pStyle w:val="Heading3"/>
      </w:pPr>
      <w:r>
        <w:t>Estimated heterogeneous treatment effects</w:t>
      </w:r>
    </w:p>
    <w:p>
      <w:r>
        <w:t>The Causal Forest model (CausalForestDML), trained on 80% of data (n=1440--2499, depending on outcome) and validated on a 20% holdout set (n=360--625), independently confirmed the epidemiological findings through a data-driven approach without pre-specified interactions (table 3). All estimates below represent CATEs under the identification strategy described in Methods; their causal interpretation depends on the conditional ignorability assumption.</w:t>
      </w:r>
    </w:p>
    <w:p>
      <w:r>
        <w:t>Model validation showed excellent train--test stability across all five outcomes (table 3). The ATE difference between training and holdout sets was &lt;0.007 for four of five outcomes (haemoglobin 0.003, weight-for-length 0.007, infectious morbidity 0.004, diarrhoea 0.0001) and 0.06 for ferritin, indicating that the models generalise to unseen data without overfitting. Notably, the nuisance models (outcome and treatment propensity) showed low predictive accuracy for individual outcomes (R2 &lt;0.05 on the holdout set), which is expected in two respects: the outcome models reflect that individual haemoglobin, ferritin, and morbidity values are driven primarily by biological variability not captured by sociodemographic covariates; and the low treatment propensity model accuracy supports the quasi-experimental premise that iron supplementation is not strongly predicted by measured covariates -- consistent with exposure driven by programme adherence rather than clinical indication. In the double machine learning framework, low nuisance model accuracy increases the variance of CATE estimates but does not bias them, as confirmed by the stable train--test generalisation.</w:t>
      </w:r>
    </w:p>
    <w:p>
      <w:r>
        <w:rPr>
          <w:b/>
        </w:rPr>
        <w:t>Haemoglobin.</w:t>
      </w:r>
      <w:r>
        <w:t xml:space="preserve"> The ATE was +0.064 g/dL on the holdout set (training: +0.061; difference: 0.003). CATE ranged from -0.129 to +0.288 g/dL (IQR 0.013 to 0.109), with 82.2% of infants showing positive estimated effects.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Ferritin.</w:t>
      </w:r>
      <w:r>
        <w:t xml:space="preserve"> The ATE was +3.28 ng/mL on the holdout set (training: +3.35; difference: 0.06). CATE ranged from -0.38 to +6.72 ng/mL (IQR 2.23 to 4.46), with 98.1% of infants showing positive estimated effects, indicating near-universal iron store repletion. Younger infants showed the largest estimated benefit (6--11 months: +4.00, 95% bootstrap CI 3.80--4.20 versus 12--18 months: +2.68, 2.48--2.87). Critically, exclusively breastfed infants aged 6--11 months showed the highest ferritin CATEs (+4.10, 3.83--4.36) despite showing the lowest haemoglobin CATEs (+0.023) -- a dissociation consistent with lactoferrin-mediated iron sequestration in the gut limiting systemic bioavailability for erythropoiesis whilst still replenishing hepatic iron stores via the enterocyte lactoferrin receptor pathway.11 Unlike haemoglobin and infectious morbidity, ferritin CATEs did not differ meaningfully by breastfeeding status (breastfed: +3.38 versus non-breastfed: +3.13; ratio 0.9), suggesting that the breastfeeding interaction operates downstream of iron absorption rather than at the level of iron stores. The equity gradient was 1.7-fold (IEN Q1: +3.66, 3.58--3.74 versus Q5: +2.18, 1.84--2.50). GATES confirmed significant heterogeneity (Q5--Q1: 4.25, 95% CI 4.07--4.44).</w:t>
      </w:r>
    </w:p>
    <w:p>
      <w:r>
        <w:rPr>
          <w:b/>
        </w:rPr>
        <w:t>Weight-for-length z-score.</w:t>
      </w:r>
      <w:r>
        <w:t xml:space="preserve"> The ATE was +0.043 z-score (training: +0.050; difference: 0.007). CATE ranged from -0.145 to +0.209 (IQR -0.008 to 0.097), with 72.0% of infants showing positive estimated effects.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ranged from -0.242 to +0.117 (IQR -0.090 to -0.001), with 75.7% of infants showing negative (beneficial) estimated effects. The reduction was three-fold larger in non-breastfed infants (-0.075, 95% CI -0.082 to -0.067) than breastfed infants (-0.025, -0.031 to -0.020), mirroring the haemoglobin interaction. Infants with severe food insecurity showed the largest benefit (-0.058, -0.068 to -0.047).</w:t>
      </w:r>
    </w:p>
    <w:p>
      <w:r>
        <w:rPr>
          <w:b/>
        </w:rPr>
        <w:t>Diarrhoea.</w:t>
      </w:r>
      <w:r>
        <w:t xml:space="preserve"> The ATE was +0.033 (iron increased diarrhoea risk; training: +0.033; difference: 0.0001, indicating near-perfect reproducibility). CATE ranged from -0.011 to +0.080 (IQR 0.023 to 0.043), with 97.3% of infants showing positive (harmful) estimated effects.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via luminal iron excess independently of host characteristics.7,8</w:t>
      </w:r>
    </w:p>
    <w:p>
      <w:r>
        <w:t>These five outcomes reveal a coherent mechanistic picture. Iron replenishes iron stores in virtually all infants (ferritin CATE positive in 98.1%), but the downstream consequences diverge by breastfeeding status: in non-breastfed infants, iron stores translate into haemoglobin improvement (3-fold higher Hb CATE) and reduced systemic infections (3-fold larger infection score reduction), whereas in breastfed infants, lactoferrin sequesters supplemental iron in the gut, limiting haemoglobin benefit while universally increasing diarrhoea risk through pathogen-available luminal iron.9 The clinical value of the individualised approach lies in integrating the balance across all five outcomes -- an infant with substantial haemoglobin and ferritin benefit may tolerate the small universal diarrhoea risk, but an infant with minimal haemoglobin benefit despite adequate ferritin repletion faces risk without commensurate reward.</w:t>
      </w:r>
    </w:p>
    <w:p>
      <w:pPr>
        <w:pStyle w:val="Heading3"/>
      </w:pPr>
      <w:r>
        <w:t>Confirmation of treatment effect heterogeneity</w:t>
      </w:r>
    </w:p>
    <w:p>
      <w:r>
        <w:t>Treatment effect heterogeneity was formally confirmed through GATES analysis for all five outcomes (figure 2). The Q5--Q1 difference (highest versus lowest CATE quintile) was statistically significant with 1000-fold bootstrap confidence intervals: haemoglobin 0.211 (95% CI 0.198--0.223), ferritin 4.250 (4.072--4.440), weight-for-length 0.202 (0.196--0.208), composite infectious morbidity 0.176 (0.170--0.183), and diarrhoea 0.045 (0.043--0.047). These results reject the null hypothesis of homogeneous treatment effects for all five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hb.png"/>
                    <pic:cNvPicPr/>
                  </pic:nvPicPr>
                  <pic:blipFill>
                    <a:blip r:embed="rId10"/>
                    <a:stretch>
                      <a:fillRect/>
                    </a:stretch>
                  </pic:blipFill>
                  <pic:spPr>
                    <a:xfrm>
                      <a:off x="0" y="0"/>
                      <a:ext cx="5029200" cy="4782819"/>
                    </a:xfrm>
                    <a:prstGeom prst="rect"/>
                  </pic:spPr>
                </pic:pic>
              </a:graphicData>
            </a:graphic>
          </wp:inline>
        </w:drawing>
      </w:r>
    </w:p>
    <w:p>
      <w:r>
        <w:rPr>
          <w:i/>
          <w:sz w:val="20"/>
        </w:rPr>
        <w:t>Figure 1A. SHAP — Haemoglobin.</w:t>
      </w:r>
    </w:p>
    <w:p/>
    <w:p>
      <w:pPr>
        <w:jc w:val="center"/>
      </w:pPr>
      <w:r>
        <w:drawing>
          <wp:inline xmlns:a="http://schemas.openxmlformats.org/drawingml/2006/main" xmlns:pic="http://schemas.openxmlformats.org/drawingml/2006/picture">
            <wp:extent cx="5029200" cy="4782819"/>
            <wp:docPr id="3" name="Picture 3"/>
            <wp:cNvGraphicFramePr>
              <a:graphicFrameLocks noChangeAspect="1"/>
            </wp:cNvGraphicFramePr>
            <a:graphic>
              <a:graphicData uri="http://schemas.openxmlformats.org/drawingml/2006/picture">
                <pic:pic>
                  <pic:nvPicPr>
                    <pic:cNvPr id="0" name="shap_infection_score.png"/>
                    <pic:cNvPicPr/>
                  </pic:nvPicPr>
                  <pic:blipFill>
                    <a:blip r:embed="rId11"/>
                    <a:stretch>
                      <a:fillRect/>
                    </a:stretch>
                  </pic:blipFill>
                  <pic:spPr>
                    <a:xfrm>
                      <a:off x="0" y="0"/>
                      <a:ext cx="5029200" cy="4782819"/>
                    </a:xfrm>
                    <a:prstGeom prst="rect"/>
                  </pic:spPr>
                </pic:pic>
              </a:graphicData>
            </a:graphic>
          </wp:inline>
        </w:drawing>
      </w:r>
    </w:p>
    <w:p>
      <w:r>
        <w:rPr>
          <w:i/>
          <w:sz w:val="20"/>
        </w:rPr>
        <w:t>Figure 1B. SHAP — Infectious morbidity.</w:t>
      </w:r>
    </w:p>
    <w:p/>
    <w:p>
      <w:pPr>
        <w:jc w:val="center"/>
      </w:pPr>
      <w:r>
        <w:drawing>
          <wp:inline xmlns:a="http://schemas.openxmlformats.org/drawingml/2006/main" xmlns:pic="http://schemas.openxmlformats.org/drawingml/2006/picture">
            <wp:extent cx="5029200" cy="2495614"/>
            <wp:docPr id="4" name="Picture 4"/>
            <wp:cNvGraphicFramePr>
              <a:graphicFrameLocks noChangeAspect="1"/>
            </wp:cNvGraphicFramePr>
            <a:graphic>
              <a:graphicData uri="http://schemas.openxmlformats.org/drawingml/2006/picture">
                <pic:pic>
                  <pic:nvPicPr>
                    <pic:cNvPr id="0" name="shap_vs_regression.png"/>
                    <pic:cNvPicPr/>
                  </pic:nvPicPr>
                  <pic:blipFill>
                    <a:blip r:embed="rId12"/>
                    <a:stretch>
                      <a:fillRect/>
                    </a:stretch>
                  </pic:blipFill>
                  <pic:spPr>
                    <a:xfrm>
                      <a:off x="0" y="0"/>
                      <a:ext cx="5029200" cy="2495614"/>
                    </a:xfrm>
                    <a:prstGeom prst="rect"/>
                  </pic:spPr>
                </pic:pic>
              </a:graphicData>
            </a:graphic>
          </wp:inline>
        </w:drawing>
      </w:r>
    </w:p>
    <w:p>
      <w:r>
        <w:rPr>
          <w:i/>
          <w:sz w:val="20"/>
        </w:rPr>
        <w:t>Figure 3. ML vs epidemiology convergence.</w:t>
      </w:r>
    </w:p>
    <w:p/>
    <w:p>
      <w:pPr>
        <w:pStyle w:val="Heading3"/>
      </w:pPr>
      <w:r>
        <w:t>Clinical decision tool</w:t>
      </w:r>
    </w:p>
    <w:p>
      <w:r>
        <w:t>The clinical decision tool, integrating all five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five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2254095"/>
            <wp:docPr id="5" name="Picture 5"/>
            <wp:cNvGraphicFramePr>
              <a:graphicFrameLocks noChangeAspect="1"/>
            </wp:cNvGraphicFramePr>
            <a:graphic>
              <a:graphicData uri="http://schemas.openxmlformats.org/drawingml/2006/picture">
                <pic:pic>
                  <pic:nvPicPr>
                    <pic:cNvPr id="0" name="equity_ien.png"/>
                    <pic:cNvPicPr/>
                  </pic:nvPicPr>
                  <pic:blipFill>
                    <a:blip r:embed="rId13"/>
                    <a:stretch>
                      <a:fillRect/>
                    </a:stretch>
                  </pic:blipFill>
                  <pic:spPr>
                    <a:xfrm>
                      <a:off x="0" y="0"/>
                      <a:ext cx="5029200" cy="2254095"/>
                    </a:xfrm>
                    <a:prstGeom prst="rect"/>
                  </pic:spPr>
                </pic:pic>
              </a:graphicData>
            </a:graphic>
          </wp:inline>
        </w:drawing>
      </w:r>
    </w:p>
    <w:p>
      <w:r>
        <w:rPr>
          <w:i/>
          <w:sz w:val="20"/>
        </w:rPr>
        <w:t>Figure 4. Equity: CATE by IEN quintile.</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exploited the quasi-experimental variation generated by differential adherence to Brazil's universal iron supplementation programme to estimate heterogeneous treatment effects using causal machine learning. Two independent analytical approaches -- traditional epidemiological interaction analysis and data-driven Causal Forest with SHAP interpretability -- converged on the same finding: breastfeeding is the primary modifier of iron's effects on infant health. We translated these findings into a freely available interactive clinical decision tool that provides individualised supplementation guidance across five simultaneous outcomes,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causal machine learning into clinical practice.23 Unlike risk prediction models that estimate the probability of an outcome, our tool estimates the expected treatment effect of iron supplementation for an individual infant across five health dimensions, integrating these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The quasi-experimental setting -- universal PNSF recommendation with adherence-driven exposure variation -- provides a stronger basis for causal interpretation than typical observational studies. The nationally representative dataset with both biomarker and clinical outcome data enables simultaneous benefit--harm assessment across 52 outcomes. The formal causal identification strategy, including DAG, IPTW, E-values, quantitative bias analysis, and a negative control outcome, constitutes a comprehensive sensitivity framework rarely seen in nutritional epidemiology. The dual analytical framework -- traditional epidemiology confirmed by causal machine learning -- provides convergent evidence stronger than either method alone. The deployed clinical tool with high-fidelity surrogates (R2 0.96--0.99) translates findings into actionable guidance. The equity analysis addresses a dimension frequently neglected in supplementation studies. Geographical cross-validation across five macroregions demonstrated model stability.</w:t>
      </w:r>
    </w:p>
    <w:p>
      <w:r>
        <w:t>This study also has limitations. First, the cross-sectional design means that even with our quasi-experimental identification strategy, definitive causal inference requires confirmation by randomised trials. The conditional ignorability assumption underlying our CATE estimates cannot be verified empirically. Our quantitative bias analysis demonstrates robustness to unmeasured confounders of plausible magnitude, but a confounder simultaneously associated with both exposure and outcome at magnitudes exceeding IEN (the strongest measured confounder, SMD 0.286) could attenuate the estimates. We note, however, that the quasi-experimental nature of the PNSF (universal recommendation with adherence-driven exposure variation), the negative control outcome showing zero confounding signal, and the convergence of two independent analytical frameworks collectively provide stronger support for causal interpretation than is typical for cross-sectional studies.</w:t>
      </w:r>
    </w:p>
    <w:p>
      <w:r>
        <w:t>Second, we lack external validation from an independent dataset. ENANI-2019 is the only Brazilian survey combining biomarkers, clinical morbidity data, and supplementation exposure in this age group. Leave-one-region-out cross-validation across five macroregions with markedly different epidemiological and socioeconomic profiles (all ATE differences &lt;0.01) provides the strongest internal evidence of generalisability currently achievable, but does not substitute for temporal or geographical external validation.</w:t>
      </w:r>
    </w:p>
    <w:p>
      <w:r>
        <w:t>Third, calibration of CATE predictions against observed within-decile treatment effects was poor for haemoglobin and growth (slopes -0.24 to -0.54). This reflects the noise inherent in computing "observed CATEs" from small within-decile subgroups (n=37--62) in cross-sectional data -- a limitation of the validation metric rather than necessarily of the CATE predictions. The clinical tool uses categorical thresholds rather than continuous CATE values, making directional accuracy more relevant than magnitude calibration.</w:t>
      </w:r>
    </w:p>
    <w:p>
      <w:r>
        <w:t>Fourth, diarrhoea showed limited treatment effect heterogeneity (97.3% positive CATEs), consistent with iron-induced gut dysbiosis operating via luminal iron excess irrespective of host characteristics.7,8 The tool's value lies in integrating this near-universal diarrhoea risk against the heterogeneous benefits in haemoglobin, growth, and systemic infections.</w:t>
      </w:r>
    </w:p>
    <w:p>
      <w:r>
        <w:t>Fifth, meta-learner concordance was moderate (r=0.23--0.35), reflecting the different structural assumptions of each method rather than instability of the underlying signal. The convergence of SHAP feature importance with independent epidemiological regression coefficients (r=0.49, p=0.010) provides a more meaningful validation of the treatment effect structure.</w:t>
      </w:r>
    </w:p>
    <w:p>
      <w:r>
        <w:t>Sixth, the clinical decision tool requires prospective validation before routine clinical use, in accordance with the DECIDE-AI framework.20 We present it as a research tool for hypothesis generation and clinical investigation, with a clear disclaimer on the deployed tool itself.</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has heterogeneous effects on health outcomes in which breastfeeding status is the primary modifier -- a finding independently confirmed by epidemiological interaction analysis and causal machine learning within a quasi-experimental setting. The estimated effects are biologically plausible, consistent with randomised evidence from African settings, and robust to unmeasured confounding of plausible magnitude (E-values 2.17--4.12; quantitative bias analysis preserving significance up to confounder OR 2.5). The deployed interactive clinical tool enables individualised four-outcome benefit--harm assessment. Iron supplementation benefits the poorest infants most, with an 11-fold equity gradient for ponderal growth. These findings support a transition from universal to breastfeeding-stratified iron supplementation that could preserve equity gains while reducing harm in exclusively breastfed infants. Prospective randomised trials stratified by breastfeeding status, ideally embedded within the Brazilian primary care system, are warranted to confirm these estimated effects and validate the clinical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r>
        <w:t>31. VanderWeele TJ, Ding P. Sensitivity analysis in observational research: introducing the E-value. Ann Intern Med 2017; 167: 268--74.</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five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