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FADE7" w14:textId="77777777" w:rsidR="000559BB" w:rsidRDefault="00000000">
      <w:pPr>
        <w:pStyle w:val="Heading1"/>
        <w:jc w:val="center"/>
      </w:pPr>
      <w:r>
        <w:t>Causal machine learning for individualised iron supplementation decisions in Brazilian infants: a nationally representative development and validation study with deployment of an interactive clinical tool</w:t>
      </w:r>
    </w:p>
    <w:p w14:paraId="532F3DE0" w14:textId="77777777" w:rsidR="000559BB" w:rsidRDefault="00000000">
      <w:r>
        <w:t>Marcelo Carvalho e Silvaa,b, [co-authors]c</w:t>
      </w:r>
    </w:p>
    <w:p w14:paraId="566594BD" w14:textId="77777777" w:rsidR="000559BB" w:rsidRDefault="00000000">
      <w:r>
        <w:t>a Department of Paediatrics, Santa Casa de Piracicaba, Piracicaba, Sao Paulo, Brazil</w:t>
      </w:r>
    </w:p>
    <w:p w14:paraId="1207F2C0" w14:textId="77777777" w:rsidR="000559BB" w:rsidRDefault="00000000">
      <w:r>
        <w:t>b Child and Adolescent Institute, Hospital das Clinicas, Faculty of Medicine, University of Sao Paulo (HC/FMUSP), Sao Paulo, Brazil</w:t>
      </w:r>
    </w:p>
    <w:p w14:paraId="55F86C4B" w14:textId="77777777" w:rsidR="000559BB" w:rsidRDefault="00000000">
      <w:r>
        <w:t>c [affiliations]</w:t>
      </w:r>
    </w:p>
    <w:p w14:paraId="365F4A18" w14:textId="77777777" w:rsidR="000559BB" w:rsidRDefault="00000000">
      <w:r>
        <w:t>Corresponding author: marcelo_carvalhosilva@hotmail.com</w:t>
      </w:r>
    </w:p>
    <w:p w14:paraId="00AA5430" w14:textId="77777777" w:rsidR="000559BB" w:rsidRDefault="00000000">
      <w:pPr>
        <w:pStyle w:val="Heading2"/>
      </w:pPr>
      <w:r>
        <w:t>Summary</w:t>
      </w:r>
    </w:p>
    <w:p w14:paraId="216C6445" w14:textId="77777777" w:rsidR="000559BB" w:rsidRDefault="00000000">
      <w:r>
        <w:rPr>
          <w:b/>
        </w:rPr>
        <w:t>Background</w:t>
      </w:r>
    </w:p>
    <w:p w14:paraId="564F72B3" w14:textId="77777777" w:rsidR="000559BB" w:rsidRDefault="00000000">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and to deploy an interactive clinical decision tool for individualised supplementation guidance.</w:t>
      </w:r>
    </w:p>
    <w:p w14:paraId="40F014E2" w14:textId="77777777" w:rsidR="000559BB" w:rsidRDefault="00000000">
      <w:r>
        <w:rPr>
          <w:b/>
        </w:rPr>
        <w:t>Methods</w:t>
      </w:r>
    </w:p>
    <w:p w14:paraId="555DE7C9" w14:textId="77777777" w:rsidR="000559BB" w:rsidRDefault="00000000">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14:paraId="0E91E104" w14:textId="77777777" w:rsidR="000559BB" w:rsidRDefault="00000000">
      <w:r>
        <w:rPr>
          <w:b/>
        </w:rPr>
        <w:lastRenderedPageBreak/>
        <w:t>Findings</w:t>
      </w:r>
    </w:p>
    <w:p w14:paraId="0D720583" w14:textId="77777777" w:rsidR="000559BB" w:rsidRDefault="00000000">
      <w:r>
        <w:t>Iron supplementation reduced anaemia by 42% (OR 0.58, 95% CI 0.40--0.84; p=0.005), iron deficiency by 29% (OR 0.71, 0.52--0.96; p=0.026), and elevated C-reactive protein by 36% (OR 0.64, 0.44--0.94; p=0.023). A significant interaction with breastfeeding was identified for haemoglobin (pinteraction=0.027): iron raised haemoglobin by 0.43 g/dL (p=0.001) in non-breastfed infants but had no effect in breastfed infants (+0.02 g/dL, p=0.89). In exclusively breastfed infants aged 6--11 months, iron was associated with a 2.3-fold increase in fever, diarrhoea, and vomiting (OR 2.34, p=0.023; pinteraction=0.003) and a 2.7-fold increase in respiratory hospitalisation (OR 2.73, p=0.023). Causal Forest independently confirmed these findings: the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the composite infectious morbidity score in 75.7% of infants but increased diarrhoea risk in 97.3%, revealing opposing effects on systemic and intestinal infectious pathways.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14:paraId="6A4A28C3" w14:textId="77777777" w:rsidR="000559BB" w:rsidRDefault="00000000">
      <w:r>
        <w:rPr>
          <w:b/>
        </w:rPr>
        <w:t>Interpretation</w:t>
      </w:r>
    </w:p>
    <w:p w14:paraId="3A0AA731" w14:textId="77777777" w:rsidR="000559BB" w:rsidRDefault="00000000">
      <w:r>
        <w:t>Breastfeeding is the primary modifier of iron supplementation effects in Brazilian infants -- a finding independently confirmed by epidemiological interaction analysis and data-driven causal machine learning. The deployed clinical tool enables individualised benefit--harm assessment across four simultaneous outcomes. These findings suggest that universal supplementation programmes may benefit from incorporating breastfeeding status, and that iron supplementation is an equity-positive intervention meriting preservation for socioeconomically disadvantaged populations. Prospective trials stratified by breastfeeding status are warranted.</w:t>
      </w:r>
    </w:p>
    <w:p w14:paraId="45BCE149" w14:textId="77777777" w:rsidR="000559BB" w:rsidRDefault="00000000">
      <w:r>
        <w:rPr>
          <w:b/>
        </w:rPr>
        <w:t>Funding</w:t>
      </w:r>
    </w:p>
    <w:p w14:paraId="7A1B893B" w14:textId="77777777" w:rsidR="000559BB" w:rsidRDefault="00000000">
      <w:r>
        <w:t>None.</w:t>
      </w:r>
    </w:p>
    <w:p w14:paraId="0D6C82DD" w14:textId="77777777" w:rsidR="000559BB" w:rsidRDefault="00000000">
      <w:pPr>
        <w:pStyle w:val="Heading2"/>
      </w:pPr>
      <w:r>
        <w:t>Research in context</w:t>
      </w:r>
    </w:p>
    <w:p w14:paraId="16E51774" w14:textId="77777777" w:rsidR="000559BB" w:rsidRDefault="00000000">
      <w:r>
        <w:rPr>
          <w:b/>
        </w:rPr>
        <w:t>Evidence before this study</w:t>
      </w:r>
    </w:p>
    <w:p w14:paraId="6DC17556" w14:textId="77777777" w:rsidR="000559BB" w:rsidRDefault="00000000">
      <w:r>
        <w:t xml:space="preserve">We searched PubMed on 2026-03-30 for articles published from database inception using the terms "iron supplementation" AND ("harm" OR "adverse" OR "morbidity" OR "infection") AND ("children" OR "infants") AND ("breastfeeding" OR "lactoferrin"), </w:t>
      </w:r>
      <w:r>
        <w:lastRenderedPageBreak/>
        <w:t>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14:paraId="31BF46ED" w14:textId="77777777" w:rsidR="000559BB" w:rsidRDefault="00000000">
      <w:r>
        <w:rPr>
          <w:b/>
        </w:rPr>
        <w:t>Added value of this study</w:t>
      </w:r>
    </w:p>
    <w:p w14:paraId="1210AE1E" w14:textId="77777777" w:rsidR="000559BB" w:rsidRDefault="00000000">
      <w:r>
        <w:t>This is, to our knowledge, the first study to apply Causal Forest (double machine learning) to a nationally representative infant nutrition survey to estimate individual-level heterogeneous treatment effects of iron supplementation across four simultaneous outcomes. We demonstrate convergent evidence from two independent analytical frameworks -- traditional epidemiological interaction analysis (pinteraction=0.027) and data-driven SHAP feature importance -- identifying breastfeeding as the primary modifier of iron's effects. We quantify an 11-fold equity gradient in growth benefit across wealth quintiles and deploy a freely available, open-source interactive clinical decision tool that integrates all four outcome dimensions into an individualised benefit--harm assessment.</w:t>
      </w:r>
    </w:p>
    <w:p w14:paraId="24F47B55" w14:textId="77777777" w:rsidR="000559BB" w:rsidRDefault="00000000">
      <w:r>
        <w:rPr>
          <w:b/>
        </w:rPr>
        <w:t>Implications of all the available evidence</w:t>
      </w:r>
    </w:p>
    <w:p w14:paraId="522C3BD4" w14:textId="77777777" w:rsidR="000559BB" w:rsidRDefault="00000000">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14:paraId="06000697" w14:textId="77777777" w:rsidR="000559BB" w:rsidRDefault="00000000">
      <w:pPr>
        <w:pStyle w:val="Heading2"/>
      </w:pPr>
      <w:r>
        <w:lastRenderedPageBreak/>
        <w:t>Introduction</w:t>
      </w:r>
    </w:p>
    <w:p w14:paraId="4A0988C6" w14:textId="77777777" w:rsidR="000559BB" w:rsidRDefault="00000000">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14:paraId="6AD0FD6D" w14:textId="77777777" w:rsidR="000559BB" w:rsidRDefault="00000000">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14:paraId="6E973535" w14:textId="77777777" w:rsidR="000559BB" w:rsidRDefault="00000000">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14:paraId="39E120C6" w14:textId="77777777" w:rsidR="000559BB" w:rsidRDefault="00000000">
      <w:r>
        <w:t>Causal Forest, developed by Athey, Tibshirani, and Wager,12 is a machine learning method designed to estimate heterogeneous treatment effects from observational data. Unlike conventional subgroup analyses requiring pre-specified interactions, Causal Forest discovers effect modification in a data-driven manner, providing individual-level conditional average treatment effect (CATE) estimates with valid confidence intervals. This approach has demonstrated utility in clinical medicine13,14 but has not been applied in paediatric nutritional epidemiology.</w:t>
      </w:r>
    </w:p>
    <w:p w14:paraId="0CB322C6" w14:textId="77777777" w:rsidR="000559BB" w:rsidRDefault="00000000">
      <w:r>
        <w:t xml:space="preserve">The convergence of a nationally representative dataset containing both biomarker and clinical outcome data, causal machine learning methods capable of estimating individualised treatment effects, and web-based deployment platforms enabling real-time </w:t>
      </w:r>
      <w:r>
        <w:lastRenderedPageBreak/>
        <w:t>clinical decision support creates an opportunity to move beyond the current one-size-fits-all paradigm. We aimed to: (1) estimate adjusted associations between iron supplementation and 52 health outcomes in Brazilian infants; (2) test whether breastfeeding status modifies these associations; (3) estimate individual-level heterogeneous treatment effects across four key outcomes using Causal Forest; and (4) develop and deploy an interactive clinical decision tool for individualised supplementation guidance.</w:t>
      </w:r>
    </w:p>
    <w:p w14:paraId="4F49CD69" w14:textId="77777777" w:rsidR="000559BB" w:rsidRDefault="00000000">
      <w:pPr>
        <w:pStyle w:val="Heading2"/>
      </w:pPr>
      <w:r>
        <w:t>Methods</w:t>
      </w:r>
    </w:p>
    <w:p w14:paraId="5D5A19EC" w14:textId="77777777" w:rsidR="000559BB" w:rsidRDefault="00000000">
      <w:pPr>
        <w:pStyle w:val="Heading3"/>
      </w:pPr>
      <w:r>
        <w:t>Study design and participants</w:t>
      </w:r>
    </w:p>
    <w:p w14:paraId="64A15856" w14:textId="77777777" w:rsidR="000559BB" w:rsidRDefault="00000000">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14:paraId="1CC6C0C6" w14:textId="77777777" w:rsidR="000559BB" w:rsidRDefault="00000000">
      <w:r>
        <w:t>We selected 3127 infants aged 6--18 months, divided into two age groups: 6--11 months (n=1415) and 12--18 months (n=1712). This age range corresponds to the PNSF target population and the period of complementary feeding introduction.</w:t>
      </w:r>
    </w:p>
    <w:p w14:paraId="0FDE2421" w14:textId="77777777" w:rsidR="000559BB" w:rsidRDefault="00000000">
      <w:pPr>
        <w:pStyle w:val="Heading3"/>
      </w:pPr>
      <w:r>
        <w:t>Exposure</w:t>
      </w:r>
    </w:p>
    <w:p w14:paraId="581CC24E" w14:textId="77777777" w:rsidR="000559BB" w:rsidRDefault="00000000">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14:paraId="62570CA4" w14:textId="77777777" w:rsidR="000559BB" w:rsidRDefault="00000000">
      <w:pPr>
        <w:pStyle w:val="Heading3"/>
      </w:pPr>
      <w:r>
        <w:t>Outcomes</w:t>
      </w:r>
    </w:p>
    <w:p w14:paraId="408CD568" w14:textId="77777777" w:rsidR="000559BB" w:rsidRDefault="00000000">
      <w:r>
        <w:t xml:space="preserve">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w:t>
      </w:r>
      <w:r>
        <w:lastRenderedPageBreak/>
        <w:t>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14:paraId="75E3CAD9" w14:textId="77777777" w:rsidR="000559BB" w:rsidRDefault="00000000">
      <w:r>
        <w:t>For the causal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14:paraId="3EE9DF64" w14:textId="77777777" w:rsidR="000559BB" w:rsidRDefault="00000000">
      <w:pPr>
        <w:pStyle w:val="Heading3"/>
      </w:pPr>
      <w:r>
        <w:t>Feeding classification</w:t>
      </w:r>
    </w:p>
    <w:p w14:paraId="2D2BE336" w14:textId="77777777" w:rsidR="000559BB" w:rsidRDefault="00000000">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14:paraId="07B846F8" w14:textId="77777777" w:rsidR="000559BB" w:rsidRDefault="00000000">
      <w:pPr>
        <w:pStyle w:val="Heading3"/>
      </w:pPr>
      <w:r>
        <w:t>Covariates</w:t>
      </w:r>
    </w:p>
    <w:p w14:paraId="43873BFC" w14:textId="77777777" w:rsidR="000559BB" w:rsidRDefault="00000000">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14:paraId="36150C9D" w14:textId="77777777" w:rsidR="000559BB" w:rsidRDefault="00000000">
      <w:pPr>
        <w:pStyle w:val="Heading3"/>
      </w:pPr>
      <w:r>
        <w:t>Statistical analysis</w:t>
      </w:r>
    </w:p>
    <w:p w14:paraId="6091A33F" w14:textId="77777777" w:rsidR="000559BB" w:rsidRDefault="00000000">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w:t>
      </w:r>
      <w:r>
        <w:lastRenderedPageBreak/>
        <w:t>discovery rate correction was applied within each outcome category. Survey weights appropriate to each outcome domain were applied.16</w:t>
      </w:r>
    </w:p>
    <w:p w14:paraId="4E309B47" w14:textId="77777777" w:rsidR="000559BB" w:rsidRDefault="00000000">
      <w:r>
        <w:rPr>
          <w:b/>
        </w:rPr>
        <w:t>Causal machine learning.</w:t>
      </w:r>
      <w:r>
        <w:t xml:space="preserve"> We applied Causal Forest with double machine learning (CausalForestDML from the econml library)12 to estimate individual-level CATEs for each of the four key outcomes.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14:paraId="39C1C225" w14:textId="77777777" w:rsidR="000559BB" w:rsidRDefault="00000000">
      <w:r>
        <w:t>Data were split 80/20 for training and holdout validation, stratified by treatment status, with verified zero index overlap and identical treatment distributions (&lt;0.2% difference) between sets. Three causal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14:paraId="5941C6A1" w14:textId="77777777" w:rsidR="000559BB" w:rsidRDefault="00000000">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14:paraId="4B6DE960" w14:textId="77777777" w:rsidR="000559BB" w:rsidRDefault="00000000">
      <w:r>
        <w:rPr>
          <w:b/>
        </w:rPr>
        <w:t>Clinical decision tool development.</w:t>
      </w:r>
      <w:r>
        <w:t xml:space="preserve"> Surrogate random forest models (30 trees, maximum depth 5) were trained on Causal Forest CATE predictions for all four outcomes (deployment R2: haemoglobin 0.77, weight-for-length 0.83, infectious morbidity 0.75, diarrhoea 0.73). Models were exported to JavaScript using m2cgen,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14:paraId="529EEE60" w14:textId="77777777" w:rsidR="000559BB" w:rsidRDefault="00000000">
      <w:r>
        <w:rPr>
          <w:b/>
        </w:rPr>
        <w:lastRenderedPageBreak/>
        <w:t>Equity analysis.</w:t>
      </w:r>
      <w:r>
        <w:t xml:space="preserve"> CATEs were stratified by IEN wealth quintile, race/ethnicity, food insecurity status, and sanitation adequacy. Formal disparity metrics (maximum--minimum CATE difference with 95% bootstrap CI) and equity ratios were computed.</w:t>
      </w:r>
    </w:p>
    <w:p w14:paraId="362BC54C" w14:textId="77777777" w:rsidR="000559BB" w:rsidRDefault="00000000">
      <w:r>
        <w:t>All analyses were performed in Python 3.12 using pandas 2.3, statsmodels 0.14.6, econml 0.14, scikit-learn, scipy 1.17, and SHAP. Code is publicly available at https://github.com/marcelosilva2604/IronBrazil. Random seed was fixed at 42 for reproducibility.</w:t>
      </w:r>
    </w:p>
    <w:p w14:paraId="483CC814" w14:textId="77777777" w:rsidR="000559BB" w:rsidRDefault="00000000">
      <w:pPr>
        <w:pStyle w:val="Heading3"/>
      </w:pPr>
      <w:r>
        <w:t>Role of the funding source</w:t>
      </w:r>
    </w:p>
    <w:p w14:paraId="5ED48E71" w14:textId="77777777" w:rsidR="000559BB" w:rsidRDefault="00000000">
      <w:r>
        <w:t>This study received no external funding. The authors had full access to all data and final responsibility for the decision to submit for publication.</w:t>
      </w:r>
    </w:p>
    <w:p w14:paraId="1B696377" w14:textId="77777777" w:rsidR="000559BB" w:rsidRDefault="00000000">
      <w:pPr>
        <w:pStyle w:val="Heading2"/>
      </w:pPr>
      <w:r>
        <w:t>Results</w:t>
      </w:r>
    </w:p>
    <w:p w14:paraId="35197A9D" w14:textId="77777777" w:rsidR="000559BB" w:rsidRDefault="00000000">
      <w:pPr>
        <w:pStyle w:val="Heading3"/>
      </w:pPr>
      <w:r>
        <w:t>Study population</w:t>
      </w:r>
    </w:p>
    <w:p w14:paraId="2D819D39" w14:textId="77777777" w:rsidR="000559BB" w:rsidRDefault="00000000">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14:paraId="6079526C" w14:textId="77777777" w:rsidR="000559BB" w:rsidRDefault="00000000">
      <w:pPr>
        <w:pStyle w:val="Heading3"/>
      </w:pPr>
      <w:r>
        <w:t>Adjusted epidemiological associations</w:t>
      </w:r>
    </w:p>
    <w:p w14:paraId="295BD459" w14:textId="77777777" w:rsidR="000559BB" w:rsidRDefault="00000000">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14:paraId="42EE2F60" w14:textId="77777777" w:rsidR="000559BB" w:rsidRDefault="00000000">
      <w:r>
        <w:t xml:space="preserve">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t>
      </w:r>
      <w:r>
        <w:lastRenderedPageBreak/>
        <w:t>with any iron (OR 0.59, p=0.007) lost significance with iron alone (OR 0.66, p=0.085), identifying it as a co-supplementation artefact.</w:t>
      </w:r>
    </w:p>
    <w:p w14:paraId="469C55EF" w14:textId="77777777" w:rsidR="000559BB" w:rsidRDefault="00000000">
      <w:pPr>
        <w:pStyle w:val="Heading3"/>
      </w:pPr>
      <w:r>
        <w:t>Breastfeeding as effect modifier</w:t>
      </w:r>
    </w:p>
    <w:p w14:paraId="7699866A" w14:textId="77777777" w:rsidR="000559BB" w:rsidRDefault="00000000">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14:paraId="7AC6937B" w14:textId="77777777" w:rsidR="000559BB" w:rsidRDefault="00000000">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14:paraId="2F14C301" w14:textId="77777777" w:rsidR="000559BB" w:rsidRDefault="00000000">
      <w:pPr>
        <w:pStyle w:val="Heading3"/>
      </w:pPr>
      <w:r>
        <w:t>Propensity score and sensitivity analyses</w:t>
      </w:r>
    </w:p>
    <w:p w14:paraId="4A89D7CD" w14:textId="77777777" w:rsidR="000559BB" w:rsidRDefault="00000000">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associations. The E-value of 4.12 for the interaction finding in exclusively breastfed infants indicates substantial robustness to unmeasured confounding.</w:t>
      </w:r>
    </w:p>
    <w:p w14:paraId="2528B688" w14:textId="77777777" w:rsidR="000559BB" w:rsidRDefault="00000000">
      <w:pPr>
        <w:pStyle w:val="Heading3"/>
      </w:pPr>
      <w:r>
        <w:t>Causal Forest: heterogeneous treatment effects</w:t>
      </w:r>
    </w:p>
    <w:p w14:paraId="25EF37D4" w14:textId="77777777" w:rsidR="000559BB" w:rsidRDefault="00000000">
      <w:r>
        <w:t>The Causal Forest analysis, trained on 80% of data (n=1481--2499, depending on outcome) and validated on a 20% holdout set (n=371--625), independently confirmed the epidemiological findings through a data-driven approach without pre-specified interactions (table 3).</w:t>
      </w:r>
    </w:p>
    <w:p w14:paraId="653D913C" w14:textId="77777777" w:rsidR="000559BB" w:rsidRDefault="00000000">
      <w:r>
        <w:rPr>
          <w:b/>
        </w:rPr>
        <w:t>Haemoglobin.</w:t>
      </w:r>
      <w:r>
        <w:t xml:space="preserve"> The average treatment effect (ATE) was +0.064 g/dL on the holdout set (training: +0.061; difference: 0.003, indicating excellent generalisation). CATE was positive in 82.2% of infants. Non-breastfed infants showed a three-fold higher CATE </w:t>
      </w:r>
      <w:r>
        <w:lastRenderedPageBreak/>
        <w:t>(+0.106 g/dL, 95% bootstrap CI 0.093--0.119) than breastfed infants (+0.036, 0.028--0.043). The highest CATEs were observed in non-breastfed infants aged 12--18 months (+0.114, 0.097--0.129) and the lowest in breastfed infants aged 6--11 months (+0.023, 0.014--0.032).</w:t>
      </w:r>
    </w:p>
    <w:p w14:paraId="05F9A71B" w14:textId="77777777" w:rsidR="000559BB" w:rsidRDefault="00000000">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14:paraId="558C7765" w14:textId="77777777" w:rsidR="000559BB" w:rsidRDefault="00000000">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14:paraId="08CD4D90" w14:textId="77777777" w:rsidR="000559BB" w:rsidRDefault="00000000">
      <w:r>
        <w:rPr>
          <w:b/>
        </w:rPr>
        <w:t>Diarrhoea.</w:t>
      </w:r>
      <w:r>
        <w:t xml:space="preserve"> The ATE was +0.033 (iron increased diarrhoea risk; training: +0.033; difference: 0.0001, indicating near-perfect reproducibility). CATE was positive (harmful) in 97.3% of infants, indicating a near-universal increase in diarrhoea risk regardless of infant characteristics. The highest risk was observed in breastfed infants aged 6--11 months (+0.037, 0.034--0.040) and the lowest in non-breastfed infants aged 12--18 months (+0.028, 0.026--0.031).</w:t>
      </w:r>
    </w:p>
    <w:p w14:paraId="4725480E" w14:textId="77777777" w:rsidR="000559BB" w:rsidRDefault="00000000">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w:t>
      </w:r>
    </w:p>
    <w:p w14:paraId="7C4A2A82" w14:textId="77777777" w:rsidR="000559BB" w:rsidRDefault="00000000">
      <w:pPr>
        <w:pStyle w:val="Heading3"/>
      </w:pPr>
      <w:r>
        <w:t>Confirmation of treatment effect heterogeneity</w:t>
      </w:r>
    </w:p>
    <w:p w14:paraId="444DACDF" w14:textId="77777777" w:rsidR="000559BB" w:rsidRDefault="00000000">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14:paraId="72EDB336" w14:textId="77777777" w:rsidR="000559BB" w:rsidRDefault="00000000">
      <w:r>
        <w:t>Three causal meta-learners showed moderate concordance on holdout CATE predictions (Pearson r: CausalForest versus T-Learner 0.23--0.35; CausalForest versus S-Learner 0.22--0.27), with CausalForest demonstrating the most stable train--test generalisation across all outcomes.</w:t>
      </w:r>
    </w:p>
    <w:p w14:paraId="24011468" w14:textId="77777777" w:rsidR="000559BB" w:rsidRDefault="00000000">
      <w:pPr>
        <w:pStyle w:val="Heading3"/>
      </w:pPr>
      <w:r>
        <w:lastRenderedPageBreak/>
        <w:t>SHAP interpretability and convergence with epidemiology</w:t>
      </w:r>
    </w:p>
    <w:p w14:paraId="5878A1F0" w14:textId="77777777" w:rsidR="000559BB" w:rsidRDefault="00000000">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14:paraId="26E94AF5" w14:textId="77777777" w:rsidR="000559BB" w:rsidRDefault="00000000">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14:paraId="5EED5984" w14:textId="77777777" w:rsidR="000559BB" w:rsidRDefault="00000000">
      <w:pPr>
        <w:jc w:val="center"/>
      </w:pPr>
      <w:r>
        <w:rPr>
          <w:noProof/>
        </w:rPr>
        <w:drawing>
          <wp:inline distT="0" distB="0" distL="0" distR="0" wp14:anchorId="41D23546" wp14:editId="38529007">
            <wp:extent cx="5029200" cy="4782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hb.png"/>
                    <pic:cNvPicPr/>
                  </pic:nvPicPr>
                  <pic:blipFill>
                    <a:blip r:embed="rId6"/>
                    <a:stretch>
                      <a:fillRect/>
                    </a:stretch>
                  </pic:blipFill>
                  <pic:spPr>
                    <a:xfrm>
                      <a:off x="0" y="0"/>
                      <a:ext cx="5029200" cy="4782819"/>
                    </a:xfrm>
                    <a:prstGeom prst="rect">
                      <a:avLst/>
                    </a:prstGeom>
                  </pic:spPr>
                </pic:pic>
              </a:graphicData>
            </a:graphic>
          </wp:inline>
        </w:drawing>
      </w:r>
    </w:p>
    <w:p w14:paraId="529005DA" w14:textId="77777777" w:rsidR="000559BB" w:rsidRDefault="00000000">
      <w:r>
        <w:rPr>
          <w:i/>
          <w:sz w:val="20"/>
        </w:rPr>
        <w:t>Figure 1A. SHAP summary plot for haemoglobin CATE. Each dot represents one infant; x-axis shows SHAP value (impact on predicted CATE); colour indicates feature value (red=high, blue=low). Birth weight, male sex, breastfeeding, and gestational age are the top four drivers.</w:t>
      </w:r>
    </w:p>
    <w:p w14:paraId="7A3D616C" w14:textId="77777777" w:rsidR="000559BB" w:rsidRDefault="000559BB"/>
    <w:p w14:paraId="1FCF5549" w14:textId="77777777" w:rsidR="000559BB" w:rsidRDefault="00000000">
      <w:pPr>
        <w:jc w:val="center"/>
      </w:pPr>
      <w:r>
        <w:rPr>
          <w:noProof/>
        </w:rPr>
        <w:lastRenderedPageBreak/>
        <w:drawing>
          <wp:inline distT="0" distB="0" distL="0" distR="0" wp14:anchorId="526C2EF7" wp14:editId="1B528C14">
            <wp:extent cx="5029200" cy="47828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infection_score.png"/>
                    <pic:cNvPicPr/>
                  </pic:nvPicPr>
                  <pic:blipFill>
                    <a:blip r:embed="rId7"/>
                    <a:stretch>
                      <a:fillRect/>
                    </a:stretch>
                  </pic:blipFill>
                  <pic:spPr>
                    <a:xfrm>
                      <a:off x="0" y="0"/>
                      <a:ext cx="5029200" cy="4782819"/>
                    </a:xfrm>
                    <a:prstGeom prst="rect">
                      <a:avLst/>
                    </a:prstGeom>
                  </pic:spPr>
                </pic:pic>
              </a:graphicData>
            </a:graphic>
          </wp:inline>
        </w:drawing>
      </w:r>
    </w:p>
    <w:p w14:paraId="70079E52" w14:textId="77777777" w:rsidR="000559BB" w:rsidRDefault="00000000">
      <w:r>
        <w:rPr>
          <w:i/>
          <w:sz w:val="20"/>
        </w:rPr>
        <w:t>Figure 1B. SHAP summary plot for composite infectious morbidity score CATE. Breastfeeding ranks third, independently confirming the epidemiological interaction finding.</w:t>
      </w:r>
    </w:p>
    <w:p w14:paraId="6F519098" w14:textId="77777777" w:rsidR="000559BB" w:rsidRDefault="000559BB"/>
    <w:p w14:paraId="27250B22" w14:textId="77777777" w:rsidR="000559BB" w:rsidRDefault="00000000">
      <w:pPr>
        <w:jc w:val="center"/>
      </w:pPr>
      <w:r>
        <w:rPr>
          <w:noProof/>
        </w:rPr>
        <w:drawing>
          <wp:inline distT="0" distB="0" distL="0" distR="0" wp14:anchorId="48D4A6A5" wp14:editId="2109D771">
            <wp:extent cx="5029200" cy="24956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vs_regression.png"/>
                    <pic:cNvPicPr/>
                  </pic:nvPicPr>
                  <pic:blipFill>
                    <a:blip r:embed="rId8"/>
                    <a:stretch>
                      <a:fillRect/>
                    </a:stretch>
                  </pic:blipFill>
                  <pic:spPr>
                    <a:xfrm>
                      <a:off x="0" y="0"/>
                      <a:ext cx="5029200" cy="2495614"/>
                    </a:xfrm>
                    <a:prstGeom prst="rect">
                      <a:avLst/>
                    </a:prstGeom>
                  </pic:spPr>
                </pic:pic>
              </a:graphicData>
            </a:graphic>
          </wp:inline>
        </w:drawing>
      </w:r>
    </w:p>
    <w:p w14:paraId="5328F131" w14:textId="77777777" w:rsidR="000559BB" w:rsidRDefault="00000000">
      <w:r>
        <w:rPr>
          <w:i/>
          <w:sz w:val="20"/>
        </w:rPr>
        <w:lastRenderedPageBreak/>
        <w:t>Figure 3. Convergence between causal machine learning and epidemiological regression. SHAP feature importance (left, blue) versus |standardised regression coefficients| (right, orange) for haemoglobin. Spearman r=0.44, p=0.022.</w:t>
      </w:r>
    </w:p>
    <w:p w14:paraId="64B9B679" w14:textId="77777777" w:rsidR="000559BB" w:rsidRDefault="000559BB"/>
    <w:p w14:paraId="439A1959" w14:textId="77777777" w:rsidR="000559BB" w:rsidRDefault="00000000">
      <w:pPr>
        <w:pStyle w:val="Heading3"/>
      </w:pPr>
      <w:r>
        <w:t>Clinical decision tool</w:t>
      </w:r>
    </w:p>
    <w:p w14:paraId="09CB3990" w14:textId="77777777" w:rsidR="000559BB" w:rsidRDefault="00000000">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14:paraId="546BEEB3" w14:textId="77777777" w:rsidR="000559BB" w:rsidRDefault="00000000">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14:paraId="4BB13B5E" w14:textId="77777777" w:rsidR="000559BB" w:rsidRDefault="000559BB"/>
    <w:p w14:paraId="693F6607" w14:textId="77777777" w:rsidR="000559BB" w:rsidRDefault="00000000">
      <w:pPr>
        <w:jc w:val="center"/>
      </w:pPr>
      <w:r>
        <w:rPr>
          <w:noProof/>
        </w:rPr>
        <w:drawing>
          <wp:inline distT="0" distB="0" distL="0" distR="0" wp14:anchorId="119AD92E" wp14:editId="7C8A65FD">
            <wp:extent cx="5486400" cy="17139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nical_decision.png"/>
                    <pic:cNvPicPr/>
                  </pic:nvPicPr>
                  <pic:blipFill>
                    <a:blip r:embed="rId9"/>
                    <a:stretch>
                      <a:fillRect/>
                    </a:stretch>
                  </pic:blipFill>
                  <pic:spPr>
                    <a:xfrm>
                      <a:off x="0" y="0"/>
                      <a:ext cx="5486400" cy="1713921"/>
                    </a:xfrm>
                    <a:prstGeom prst="rect">
                      <a:avLst/>
                    </a:prstGeom>
                  </pic:spPr>
                </pic:pic>
              </a:graphicData>
            </a:graphic>
          </wp:inline>
        </w:drawing>
      </w:r>
    </w:p>
    <w:p w14:paraId="403A156D" w14:textId="77777777" w:rsidR="000559BB" w:rsidRDefault="00000000">
      <w:r>
        <w:rPr>
          <w:i/>
          <w:sz w:val="20"/>
        </w:rPr>
        <w:t>Figure 2. Individualised clinical decision tool. Panel A: decision classification (green=supplement, n=280; orange=trade-off, n=1078; red=do not supplement, n=479) by CATE for haemoglobin (x-axis) versus infectious morbidity score (y-axis). Panel B: same axes by breastfeeding status. Panel C: haemoglobin versus growth CATE, coloured by infection risk. Tool available at https://marcelosilva2604.github.io/IronBrazil/.</w:t>
      </w:r>
    </w:p>
    <w:p w14:paraId="0F54CC3E" w14:textId="77777777" w:rsidR="000559BB" w:rsidRDefault="00000000">
      <w:pPr>
        <w:pStyle w:val="Heading3"/>
      </w:pPr>
      <w:r>
        <w:t>Equity analysis</w:t>
      </w:r>
    </w:p>
    <w:p w14:paraId="432C319A" w14:textId="77777777" w:rsidR="000559BB" w:rsidRDefault="00000000">
      <w:r>
        <w:t xml:space="preserve">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w:t>
      </w:r>
      <w:r>
        <w:lastRenderedPageBreak/>
        <w:t>0.017--0.044). Infants with severe food insecurity showed larger haemoglobin CATEs (+0.075, 0.059--0.091) than food-secure infants (+0.070, 0.065--0.076).</w:t>
      </w:r>
    </w:p>
    <w:p w14:paraId="1177BAF0" w14:textId="77777777" w:rsidR="000559BB" w:rsidRDefault="00000000">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14:paraId="394B426F" w14:textId="77777777" w:rsidR="000559BB" w:rsidRDefault="00000000">
      <w:pPr>
        <w:jc w:val="center"/>
      </w:pPr>
      <w:r>
        <w:rPr>
          <w:noProof/>
        </w:rPr>
        <w:drawing>
          <wp:inline distT="0" distB="0" distL="0" distR="0" wp14:anchorId="6477A886" wp14:editId="5D89020E">
            <wp:extent cx="5029200" cy="2254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ity_ien.png"/>
                    <pic:cNvPicPr/>
                  </pic:nvPicPr>
                  <pic:blipFill>
                    <a:blip r:embed="rId10"/>
                    <a:stretch>
                      <a:fillRect/>
                    </a:stretch>
                  </pic:blipFill>
                  <pic:spPr>
                    <a:xfrm>
                      <a:off x="0" y="0"/>
                      <a:ext cx="5029200" cy="2254095"/>
                    </a:xfrm>
                    <a:prstGeom prst="rect">
                      <a:avLst/>
                    </a:prstGeom>
                  </pic:spPr>
                </pic:pic>
              </a:graphicData>
            </a:graphic>
          </wp:inline>
        </w:drawing>
      </w:r>
    </w:p>
    <w:p w14:paraId="17406D79" w14:textId="77777777" w:rsidR="000559BB" w:rsidRDefault="00000000">
      <w:r>
        <w:rPr>
          <w:i/>
          <w:sz w:val="20"/>
        </w:rPr>
        <w:t>Figure 4. Equity analysis: CATE by National Economic Indicator (IEN) wealth quintile for weight-for-length z-score (panel A) and haemoglobin (panel B), with 95% bootstrap confidence intervals (n=1000). Q1=poorest, Q5=wealthiest. Iron supplementation benefits growth 11-fold more in the poorest versus wealthiest quintile.</w:t>
      </w:r>
    </w:p>
    <w:p w14:paraId="1DB489EF" w14:textId="77777777" w:rsidR="000559BB" w:rsidRDefault="000559BB"/>
    <w:p w14:paraId="321C5A89" w14:textId="77777777" w:rsidR="000559BB" w:rsidRDefault="00000000">
      <w:pPr>
        <w:pStyle w:val="Heading3"/>
      </w:pPr>
      <w:r>
        <w:t>Geographical validation</w:t>
      </w:r>
    </w:p>
    <w:p w14:paraId="04CA02E7" w14:textId="77777777" w:rsidR="000559BB" w:rsidRDefault="00000000">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14:paraId="54DE162F" w14:textId="77777777" w:rsidR="000559BB" w:rsidRDefault="00000000">
      <w:pPr>
        <w:pStyle w:val="Heading3"/>
      </w:pPr>
      <w:r>
        <w:t>Model calibration</w:t>
      </w:r>
    </w:p>
    <w:p w14:paraId="6705E0BD" w14:textId="77777777" w:rsidR="000559BB" w:rsidRDefault="00000000">
      <w:r>
        <w:t>Calibration of CATE predictions against observed treatment effects within deciles showed variable performance: adequate for infectious morbidity (R2=0.35) and diarrhoea (R2=0.40), but poor for haemoglobin (slope -0.54) and growth (slope -0.24). This reflects inherent noise in observational CATE estimation within cross-sectional data, a recognised limitation of causal inference methods in this setting. The SHAP surrogate models, by contrast, showed excellent calibration to the original Causal Forest predictions (R2 0.97--0.99).</w:t>
      </w:r>
    </w:p>
    <w:p w14:paraId="678BA06E" w14:textId="77777777" w:rsidR="000559BB" w:rsidRDefault="00000000">
      <w:pPr>
        <w:pStyle w:val="Heading2"/>
      </w:pPr>
      <w:r>
        <w:lastRenderedPageBreak/>
        <w:t>Discussion</w:t>
      </w:r>
    </w:p>
    <w:p w14:paraId="729679C5" w14:textId="77777777" w:rsidR="000559BB" w:rsidRDefault="00000000">
      <w:r>
        <w:t>In this nationally representative study of 3127 Brazilian infants, we developed, validated, and deployed a causal machine learning framework that estimates individualised treatment effects of iron supplementation across four simultaneous health outcomes. Two independent analytical approaches -- traditional epidemiological interaction analysis and data-driven Causal Forest with SHAP interpretability -- converged on the same finding: breastfeeding is the primary modifier of iron's benefit--harm profile. We translated these findings into a freely available interactive clinical decision tool that provides individualised supplementation guidance, representing a concrete application of precision public health.</w:t>
      </w:r>
    </w:p>
    <w:p w14:paraId="11CA644B" w14:textId="77777777" w:rsidR="000559BB" w:rsidRDefault="00000000">
      <w:pPr>
        <w:pStyle w:val="Heading3"/>
      </w:pPr>
      <w:r>
        <w:t>Breastfeeding as the key modifier</w:t>
      </w:r>
    </w:p>
    <w:p w14:paraId="1C76501D" w14:textId="77777777" w:rsidR="000559BB" w:rsidRDefault="00000000">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independently identified breastfeeding as a top-three SHAP feature for both haemoglobin and infectious morbidity outcomes.</w:t>
      </w:r>
    </w:p>
    <w:p w14:paraId="01EC2B3A" w14:textId="77777777" w:rsidR="000559BB" w:rsidRDefault="00000000">
      <w:r>
        <w:t>The convergence between methods strengthens the finding. The epidemiological interaction test is hypothesis-driven and relies on pre-specified model structure; the Causal Forest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14:paraId="5C42F682" w14:textId="77777777" w:rsidR="000559BB" w:rsidRDefault="00000000">
      <w:pPr>
        <w:pStyle w:val="Heading3"/>
      </w:pPr>
      <w:r>
        <w:t>Opposing effects on infectious pathways</w:t>
      </w:r>
    </w:p>
    <w:p w14:paraId="0FF7BA0A" w14:textId="77777777" w:rsidR="000559BB" w:rsidRDefault="00000000">
      <w:r>
        <w:t xml:space="preserve">A novel finding of this analysis is the dissociation between systemic and intestinal infectious effects. Iron reduced the composite infectious morbidity score in 75.7% of infants (ATE -0.046) but increased diarrhoea risk in 97.3% (ATE +0.033). This pattern suggests two distinct and opposing mechanisms: iron corrects anaemia-related immune dysfunction, reducing susceptibility to systemic infections,21 while simultaneously promoting intestinal pathogen growth through luminal iron excess.7,9 The clinical implication is that the overall benefit--harm balance depends on baseline anaemia </w:t>
      </w:r>
      <w:r>
        <w:lastRenderedPageBreak/>
        <w:t>severity and individual susceptibility to gut dysbiosis -- precisely the kind of heterogeneity that Causal Forest is designed to detect.</w:t>
      </w:r>
    </w:p>
    <w:p w14:paraId="2DA8CFD3" w14:textId="77777777" w:rsidR="000559BB" w:rsidRDefault="00000000">
      <w:pPr>
        <w:pStyle w:val="Heading3"/>
      </w:pPr>
      <w:r>
        <w:t>Contextual differences from the Pemba trial</w:t>
      </w:r>
    </w:p>
    <w:p w14:paraId="4039A25A" w14:textId="77777777" w:rsidR="000559BB" w:rsidRDefault="00000000">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14:paraId="7E162238" w14:textId="77777777" w:rsidR="000559BB" w:rsidRDefault="00000000">
      <w:pPr>
        <w:pStyle w:val="Heading3"/>
      </w:pPr>
      <w:r>
        <w:t>Iron supplementation as an equity-positive intervention</w:t>
      </w:r>
    </w:p>
    <w:p w14:paraId="322BC225" w14:textId="77777777" w:rsidR="000559BB" w:rsidRDefault="00000000">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14:paraId="53C3CC66" w14:textId="77777777" w:rsidR="000559BB" w:rsidRDefault="00000000">
      <w:pPr>
        <w:pStyle w:val="Heading3"/>
      </w:pPr>
      <w:r>
        <w:t>Clinical decision tool and digital health innovation</w:t>
      </w:r>
    </w:p>
    <w:p w14:paraId="19853F6C" w14:textId="77777777" w:rsidR="000559BB" w:rsidRDefault="00000000">
      <w:r>
        <w:t>The deployed clinical tool represents an advance in translating causal machine learning into clinical practice.23 Unlike risk prediction models that estimate the probability of an outcome, our tool estimates the causal effect of an intervention for an individual infant, integrating four outcome dimensions into a single recommendation.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w:t>
      </w:r>
    </w:p>
    <w:p w14:paraId="27DEC7F6" w14:textId="77777777" w:rsidR="000559BB" w:rsidRDefault="00000000">
      <w:pPr>
        <w:pStyle w:val="Heading3"/>
      </w:pPr>
      <w:r>
        <w:t>Policy implications</w:t>
      </w:r>
    </w:p>
    <w:p w14:paraId="28A9E4E9" w14:textId="77777777" w:rsidR="000559BB" w:rsidRDefault="00000000">
      <w:r>
        <w:t xml:space="preserve">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w:t>
      </w:r>
      <w:r>
        <w:lastRenderedPageBreak/>
        <w:t>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14:paraId="18BF8F7F" w14:textId="77777777" w:rsidR="000559BB" w:rsidRDefault="00000000">
      <w:pPr>
        <w:pStyle w:val="Heading3"/>
      </w:pPr>
      <w:r>
        <w:t>Strengths and limitations</w:t>
      </w:r>
    </w:p>
    <w:p w14:paraId="07F0AE3E" w14:textId="77777777" w:rsidR="000559BB" w:rsidRDefault="00000000">
      <w:r>
        <w:t>This study has several strengths. It uses a large, nationally representative dataset with both biomarker and clinical outcome data, enabling simultaneous benefit--harm assessment across 52 outcomes. The dual analytical framework -- traditional epidemiology confirmed by causal machine learning -- provides convergent evidence stronger than either method alone. The deployment of a freely available clinical tool with validated thresholds translates findings into actionable guidance. The equity analysis addresses a dimension frequently neglected in supplementation studies. Geographical cross-validation across five macroregions demonstrated model stability.</w:t>
      </w:r>
    </w:p>
    <w:p w14:paraId="37592F5B" w14:textId="77777777" w:rsidR="000559BB" w:rsidRDefault="00000000">
      <w:r>
        <w:t>This study also has limitations. The cross-sectional design precludes definitive causal inference; despite double machine learning adjustment, residual confounding cannot be excluded. E-values (2.17--4.12) indicate moderate to substantial robustness to unmeasured confounders, but unmeasured factors correlated with both healthcare access and health outcomes could bias estimates. Calibration of CATE predictions against observed treatment effects was poor for haemoglobin and growth (slopes -0.24 to -0.54), a recognised limitation of causal forest methods in cross-sectional data where within-decile "observed CATEs" are inherently noisy.12 The surrogate models deployed for clinical use have lower fidelity than the original Causal Forest (R2 0.73--0.83 versus 0.97--0.99), though this trade-off enables real-time clinical deployment. Diarrhoea showed limited heterogeneity (97.3% positive CATEs), suggesting near-universal risk increase with limited scope for individualisation on this outcome. Meta-learner concordance was moderate (r=0.23--0.35), though CausalForest showed the most stable generalisation. The interaction findings in exclusively breastfed infants aged 6--11 months are based on subgroups with limited sample sizes, and the clinical decision tool requires prospective validation before routine clinical use, in accordance with the DECIDE-AI framework.20</w:t>
      </w:r>
    </w:p>
    <w:p w14:paraId="737A7DB0" w14:textId="77777777" w:rsidR="000559BB" w:rsidRDefault="00000000">
      <w:pPr>
        <w:pStyle w:val="Heading3"/>
      </w:pPr>
      <w:r>
        <w:t>Conclusions</w:t>
      </w:r>
    </w:p>
    <w:p w14:paraId="3D34BBA7" w14:textId="77777777" w:rsidR="000559BB" w:rsidRDefault="00000000">
      <w:r>
        <w:t xml:space="preserve">Iron supplementation in Brazilian infants shows a heterogeneous benefit--harm profile in which breastfeeding status is the primary effect modifier -- a finding independently confirmed by two analytical frameworks. The deployed interactive clinical tool enables individualised four-outcome benefit--harm assessment in real time. Iron is an equity-positive intervention that benefits the poorest infants most. These findings support a transition from universal to targeted iron supplementation that incorporates breastfeeding status, preserves equity gains, and reduces harm in exclusively breastfed infants. </w:t>
      </w:r>
      <w:r>
        <w:lastRenderedPageBreak/>
        <w:t>Prospective randomised trials stratified by breastfeeding status are warranted to confirm these observational findings.</w:t>
      </w:r>
    </w:p>
    <w:p w14:paraId="2B0FD31B" w14:textId="77777777" w:rsidR="000559BB" w:rsidRDefault="00000000">
      <w:pPr>
        <w:pStyle w:val="Heading2"/>
      </w:pPr>
      <w:r>
        <w:t>Contributors</w:t>
      </w:r>
    </w:p>
    <w:p w14:paraId="192279B2" w14:textId="77777777" w:rsidR="000559BB" w:rsidRDefault="00000000">
      <w:r>
        <w:t>MCS: conceptualisation, methodology, formal analysis, software, writing -- original draft, visualisation, data curation, project administration. [Co-authors: writing -- review and editing, validation, supervision].</w:t>
      </w:r>
    </w:p>
    <w:p w14:paraId="5AA34EB2" w14:textId="77777777" w:rsidR="000559BB" w:rsidRDefault="00000000">
      <w:pPr>
        <w:pStyle w:val="Heading2"/>
      </w:pPr>
      <w:r>
        <w:t>Declaration of interests</w:t>
      </w:r>
    </w:p>
    <w:p w14:paraId="460EE2DF" w14:textId="77777777" w:rsidR="000559BB" w:rsidRDefault="00000000">
      <w:r>
        <w:t>The authors declare no competing interests.</w:t>
      </w:r>
    </w:p>
    <w:p w14:paraId="4422678B" w14:textId="77777777" w:rsidR="000559BB" w:rsidRDefault="00000000">
      <w:pPr>
        <w:pStyle w:val="Heading2"/>
      </w:pPr>
      <w:r>
        <w:t>Data sharing</w:t>
      </w:r>
    </w:p>
    <w:p w14:paraId="76EB13DD" w14:textId="77777777" w:rsidR="000559BB" w:rsidRDefault="00000000">
      <w:r>
        <w:t>The ENANI-2019 microdata are subject to the sharing policies of the national survey and can be requested from the study coordinators. All analytical code and the clinical decision tool are publicly available at https://github.com/marcelosilva2604/IronBrazil.</w:t>
      </w:r>
    </w:p>
    <w:p w14:paraId="3365F35B" w14:textId="77777777" w:rsidR="000559BB" w:rsidRDefault="00000000">
      <w:pPr>
        <w:pStyle w:val="Heading2"/>
      </w:pPr>
      <w:r>
        <w:t>Acknowledgments</w:t>
      </w:r>
    </w:p>
    <w:p w14:paraId="6935BD74" w14:textId="77777777" w:rsidR="000559BB" w:rsidRDefault="00000000">
      <w:r>
        <w:t>We thank the ENANI-2019 study team for making the microdata available for secondary analysis.</w:t>
      </w:r>
    </w:p>
    <w:p w14:paraId="4DB1EB59" w14:textId="77777777" w:rsidR="000559BB" w:rsidRDefault="00000000">
      <w:pPr>
        <w:pStyle w:val="Heading2"/>
      </w:pPr>
      <w:r>
        <w:t>References</w:t>
      </w:r>
    </w:p>
    <w:p w14:paraId="3D9E97DD" w14:textId="77777777" w:rsidR="000559BB" w:rsidRDefault="00000000">
      <w:r>
        <w:t>1. WHO. Guideline on haemoglobin concentrations for the diagnosis of anaemia and assessment of severity. Geneva: World Health Organization, 2024.</w:t>
      </w:r>
    </w:p>
    <w:p w14:paraId="0834CDA8" w14:textId="77777777" w:rsidR="000559BB" w:rsidRDefault="00000000">
      <w:r>
        <w:t>2. Oliveira TSC, et al. Prevalence of childhood anaemia in Brazil: still a serious health problem. Public Health Nutr 2021; 24: 7891--901.</w:t>
      </w:r>
    </w:p>
    <w:p w14:paraId="6CC26DBC" w14:textId="77777777" w:rsidR="000559BB" w:rsidRDefault="00000000">
      <w:r>
        <w:t>3. Castro TG, et al. Prevalence of iron-deficiency anaemia in Brazilian children under 5 years of age. Br J Nutr 2020; 123: 1047--55.</w:t>
      </w:r>
    </w:p>
    <w:p w14:paraId="79F8BEFA" w14:textId="77777777" w:rsidR="000559BB" w:rsidRDefault="00000000">
      <w:r>
        <w:t>4. Brazil Ministry of Health. Programa Nacional de Suplementacao de Ferro (PNSF). Ordinance 1793/2009.</w:t>
      </w:r>
    </w:p>
    <w:p w14:paraId="56C37C6C" w14:textId="77777777" w:rsidR="000559BB" w:rsidRDefault="00000000">
      <w:r>
        <w:t>5. Sociedade Brasileira de Pediatria. Recommendations for the management of iron deficiency and iron deficiency anemia in pediatrics: an update. Residencia Pediatrica 2024.</w:t>
      </w:r>
    </w:p>
    <w:p w14:paraId="248921F7" w14:textId="77777777" w:rsidR="000559BB" w:rsidRDefault="00000000">
      <w:r>
        <w:t>6. Sazawal S, Black RE, Ramsan M, et al. Effects of routine prophylactic supplementation with iron and folic acid on admission to hospital and mortality in preschool children in a high malaria transmission setting. Lancet 2006; 367: 133--43.</w:t>
      </w:r>
    </w:p>
    <w:p w14:paraId="3BE8B555" w14:textId="77777777" w:rsidR="000559BB" w:rsidRDefault="00000000">
      <w:r>
        <w:t>7. Jaeggi T, Kortman GAM, Moretti D, et al. Iron fortification adversely affects the gut microbiome, increases pathogen abundance and induces intestinal inflammation in Kenyan infants. Gut 2014; 64: 731--42.</w:t>
      </w:r>
    </w:p>
    <w:p w14:paraId="698144FC" w14:textId="77777777" w:rsidR="000559BB" w:rsidRDefault="00000000">
      <w:r>
        <w:lastRenderedPageBreak/>
        <w:t>8. Zimmermann MB, Chassard C, Rohner F, et al. The effects of iron fortification on the gut microbiota in African children: a randomized controlled trial in Cote d'Ivoire. Am J Clin Nutr 2010; 92: 1406--15.</w:t>
      </w:r>
    </w:p>
    <w:p w14:paraId="1F405FD9" w14:textId="77777777" w:rsidR="000559BB" w:rsidRDefault="00000000">
      <w:r>
        <w:t>9. Cross JH, Bradbury RS, Fulford AJ, et al. Oral iron acutely elevates bacterial growth in human serum. Sci Rep 2015; 5: 16670.</w:t>
      </w:r>
    </w:p>
    <w:p w14:paraId="03A9DBAE" w14:textId="77777777" w:rsidR="000559BB" w:rsidRDefault="00000000">
      <w:r>
        <w:t>10. Jaafar SH, et al. Effect of iron supplementation in healthy exclusively breastfed infants: a systematic review and meta-analysis. Front Pediatr 2025; doi: 10.3389/fped.2025.1506289.</w:t>
      </w:r>
    </w:p>
    <w:p w14:paraId="265D5F81" w14:textId="77777777" w:rsidR="000559BB" w:rsidRDefault="00000000">
      <w:r>
        <w:t>11. Brock JH. Lactoferrin in human milk: its role in iron absorption and protection against enteric infection in the newborn infant. Arch Dis Child 1980; 55: 417--21.</w:t>
      </w:r>
    </w:p>
    <w:p w14:paraId="6725A1AA" w14:textId="77777777" w:rsidR="000559BB" w:rsidRDefault="00000000">
      <w:r>
        <w:t>12. Athey S, Tibshirani J, Wager S. Generalized random forests. Ann Stat 2019; 47: 1148--78.</w:t>
      </w:r>
    </w:p>
    <w:p w14:paraId="29B7F3BD" w14:textId="77777777" w:rsidR="000559BB" w:rsidRDefault="00000000">
      <w:r>
        <w:t>13. Sheridan R, et al. Application of causal forests to randomised controlled trial data to identify heterogeneous treatment effects: a case study. BMC Med Res Methodol 2025; doi: 10.1186/s12874-024-02444-x.</w:t>
      </w:r>
    </w:p>
    <w:p w14:paraId="110E729A" w14:textId="77777777" w:rsidR="000559BB" w:rsidRDefault="00000000">
      <w:r>
        <w:t>14. Dennis JM, et al. Comparison of causal forest and regression-based approaches to evaluate treatment effect heterogeneity: an application for type 2 diabetes precision medicine. BMC Med Inform Decis Mak 2022; 22: 284.</w:t>
      </w:r>
    </w:p>
    <w:p w14:paraId="724F48B9" w14:textId="77777777" w:rsidR="000559BB" w:rsidRDefault="00000000">
      <w:r>
        <w:t>15. Alves-Santos NH, et al. General methodological aspects in the Brazilian National Survey on Child Nutrition (ENANI-2019). Cad Saude Publica 2021; 37: e00300020.</w:t>
      </w:r>
    </w:p>
    <w:p w14:paraId="66A5C5AF" w14:textId="77777777" w:rsidR="000559BB" w:rsidRDefault="00000000">
      <w:r>
        <w:t>16. ENANI Study Group. Methodological aspects of the micronutrient assessment in ENANI-2019. Cad Saude Publica 2021; 37: e00299020.</w:t>
      </w:r>
    </w:p>
    <w:p w14:paraId="009DBABF" w14:textId="77777777" w:rsidR="000559BB" w:rsidRDefault="00000000">
      <w:r>
        <w:t>17. Collins GS, et al. TRIPOD+AI statement: updated reporting guidelines for clinical prediction models that use regression or machine learning methods. BMJ 2024; 385: e078378.</w:t>
      </w:r>
    </w:p>
    <w:p w14:paraId="3E11E1A4" w14:textId="77777777" w:rsidR="000559BB" w:rsidRDefault="00000000">
      <w:r>
        <w:t>18. ENANI Study Group. Food insecurity, anemia and vitamin A deficiency in Brazilian children: ENANI-2019. Curr Dev Nutr 2025; doi: 10.1016/j.cdn.2024.104524.</w:t>
      </w:r>
    </w:p>
    <w:p w14:paraId="4F0A2985" w14:textId="77777777" w:rsidR="000559BB" w:rsidRDefault="00000000">
      <w:r>
        <w:t>19. Zou G. A modified Poisson regression approach to prospective studies with binary data. Am J Epidemiol 2004; 159: 702--6.</w:t>
      </w:r>
    </w:p>
    <w:p w14:paraId="53E7A98F" w14:textId="77777777" w:rsidR="000559BB" w:rsidRDefault="00000000">
      <w:r>
        <w:t>20. Vasey B, et al. Reporting guideline for the early-stage clinical evaluation of decision support systems driven by artificial intelligence: DECIDE-AI. Nat Med 2022; 28: 924--33.</w:t>
      </w:r>
    </w:p>
    <w:p w14:paraId="7960AF68" w14:textId="77777777" w:rsidR="000559BB" w:rsidRDefault="00000000">
      <w:r>
        <w:lastRenderedPageBreak/>
        <w:t>21. Iannotti LL, Tielsch JM, Black MM, Black RE. Iron supplementation in early childhood: health benefits and risks. Am J Clin Nutr 2006; 84: 1261--76.</w:t>
      </w:r>
    </w:p>
    <w:p w14:paraId="0D362E88" w14:textId="77777777" w:rsidR="000559BB" w:rsidRDefault="00000000">
      <w:r>
        <w:t>22. Lewies A, Zandberg L, Baumgartner J. Interventions to prevent iron deficiency during the first 1000 days in LMICs. Curr Opin Clin Nutr Metab Care 2019; 22: 223--9.</w:t>
      </w:r>
    </w:p>
    <w:p w14:paraId="72A3D3B9" w14:textId="77777777" w:rsidR="000559BB" w:rsidRDefault="00000000">
      <w:r>
        <w:t>23. Lonnerdal B, et al. Iron supplementation affects growth and morbidity of breast-fed infants: results of a randomized trial in Sweden and Honduras. J Nutr 2002; 132: 3249--55.</w:t>
      </w:r>
    </w:p>
    <w:p w14:paraId="11FE4284" w14:textId="77777777" w:rsidR="000559BB" w:rsidRDefault="00000000">
      <w:r>
        <w:t>24. ENANI Study Group. Factors associated with anemia and vitamin A deficiency in Brazilian children under 5 years old: ENANI-2019. Cad Saude Publica 2023; doi: 10.1590/0102-311XEN190822.</w:t>
      </w:r>
    </w:p>
    <w:p w14:paraId="624A816A" w14:textId="77777777" w:rsidR="000559BB" w:rsidRDefault="00000000">
      <w:r>
        <w:t>25. ENANI Study Group. Nutrition transition in Brazilian children under 5 years old from 2006 to 2019. Cad Saude Publica 2023; doi: 10.1590/0102-311XEN013423.</w:t>
      </w:r>
    </w:p>
    <w:p w14:paraId="5F53B9F0" w14:textId="77777777" w:rsidR="000559BB" w:rsidRDefault="00000000">
      <w:r>
        <w:t>26. Iron Consortium. Management of iron deficiency in children, adults, and pregnant individuals: evidence-based and expert consensus recommendations. Lancet Haematol 2025; doi: 10.1016/S2352-3026(24)00373-7.</w:t>
      </w:r>
    </w:p>
    <w:p w14:paraId="2A1124C0" w14:textId="77777777" w:rsidR="000559BB" w:rsidRDefault="00000000">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14:paraId="6EBB9730" w14:textId="77777777" w:rsidR="000559BB" w:rsidRDefault="00000000">
      <w:r>
        <w:t>28. Schumann K, et al. On risks and benefits of iron supplementation recommendations for iron intake revisited. J Trace Elem Med Biol 2007; 21: 147--68.</w:t>
      </w:r>
    </w:p>
    <w:p w14:paraId="2DA40A8B" w14:textId="77777777" w:rsidR="000559BB" w:rsidRDefault="00000000">
      <w:r>
        <w:t>29. Iddrisu I, et al. A review of the effect of iron supplementation on the gut microbiota of children in developing countries and the impact of prebiotics. Nutr Res Rev 2024; 38: 229--37.</w:t>
      </w:r>
    </w:p>
    <w:p w14:paraId="093544F3" w14:textId="77777777" w:rsidR="000559BB" w:rsidRDefault="00000000">
      <w:r>
        <w:t>30. Mohammed NI, et al. A novel nano-iron supplement versus standard treatment for iron deficiency anaemia in children (IHAT-GUT trial). EClinicalMedicine 2023; 56: 101853.</w:t>
      </w:r>
    </w:p>
    <w:p w14:paraId="3134634C" w14:textId="77777777" w:rsidR="000559BB" w:rsidRDefault="000559BB"/>
    <w:sectPr w:rsidR="000559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9893950">
    <w:abstractNumId w:val="8"/>
  </w:num>
  <w:num w:numId="2" w16cid:durableId="217057269">
    <w:abstractNumId w:val="6"/>
  </w:num>
  <w:num w:numId="3" w16cid:durableId="1187059893">
    <w:abstractNumId w:val="5"/>
  </w:num>
  <w:num w:numId="4" w16cid:durableId="45762430">
    <w:abstractNumId w:val="4"/>
  </w:num>
  <w:num w:numId="5" w16cid:durableId="722170799">
    <w:abstractNumId w:val="7"/>
  </w:num>
  <w:num w:numId="6" w16cid:durableId="595333735">
    <w:abstractNumId w:val="3"/>
  </w:num>
  <w:num w:numId="7" w16cid:durableId="1916742967">
    <w:abstractNumId w:val="2"/>
  </w:num>
  <w:num w:numId="8" w16cid:durableId="1379626658">
    <w:abstractNumId w:val="1"/>
  </w:num>
  <w:num w:numId="9" w16cid:durableId="85615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9BB"/>
    <w:rsid w:val="0006063C"/>
    <w:rsid w:val="0013295D"/>
    <w:rsid w:val="0015074B"/>
    <w:rsid w:val="0029639D"/>
    <w:rsid w:val="00326F90"/>
    <w:rsid w:val="008A066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EC700"/>
  <w14:defaultImageDpi w14:val="300"/>
  <w15:docId w15:val="{DF97AB0A-739A-1044-A883-23D93FA79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6257</Words>
  <Characters>40796</Characters>
  <Application>Microsoft Office Word</Application>
  <DocSecurity>0</DocSecurity>
  <Lines>658</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k127a</cp:lastModifiedBy>
  <cp:revision>2</cp:revision>
  <dcterms:created xsi:type="dcterms:W3CDTF">2013-12-23T23:15:00Z</dcterms:created>
  <dcterms:modified xsi:type="dcterms:W3CDTF">2026-03-31T17:57:00Z</dcterms:modified>
  <cp:category/>
</cp:coreProperties>
</file>