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8494"/>
      </w:tblGrid>
      <w:tr w:rsidR="005D2AD0" w:rsidRPr="00680BC6" w14:paraId="761DAF3D" w14:textId="77777777" w:rsidTr="004E04AD">
        <w:tc>
          <w:tcPr>
            <w:tcW w:w="8907" w:type="dxa"/>
            <w:tcMar>
              <w:top w:w="113" w:type="dxa"/>
              <w:bottom w:w="113" w:type="dxa"/>
            </w:tcMar>
          </w:tcPr>
          <w:p w14:paraId="726A6125" w14:textId="18F7A57F" w:rsidR="005D2AD0" w:rsidRPr="00680BC6" w:rsidRDefault="005D2AD0" w:rsidP="004E04AD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680BC6">
              <w:rPr>
                <w:rFonts w:ascii="Arial" w:hAnsi="Arial"/>
                <w:b/>
                <w:color w:val="2F5496" w:themeColor="accent1" w:themeShade="BF"/>
                <w:lang w:val="es-ES"/>
              </w:rPr>
              <w:t>Equipo Nº:</w:t>
            </w:r>
            <w:r>
              <w:rPr>
                <w:rFonts w:ascii="Arial" w:hAnsi="Arial"/>
                <w:b/>
                <w:color w:val="2F5496" w:themeColor="accent1" w:themeShade="BF"/>
                <w:lang w:val="es-ES"/>
              </w:rPr>
              <w:t xml:space="preserve"> 3</w:t>
            </w:r>
          </w:p>
        </w:tc>
      </w:tr>
      <w:tr w:rsidR="005D2AD0" w:rsidRPr="00680BC6" w14:paraId="7535AE90" w14:textId="77777777" w:rsidTr="004E04AD">
        <w:tc>
          <w:tcPr>
            <w:tcW w:w="8907" w:type="dxa"/>
            <w:tcMar>
              <w:top w:w="113" w:type="dxa"/>
              <w:bottom w:w="113" w:type="dxa"/>
            </w:tcMar>
          </w:tcPr>
          <w:p w14:paraId="6BD8BF74" w14:textId="2973F75C" w:rsidR="005D2AD0" w:rsidRPr="00680BC6" w:rsidRDefault="005D2AD0" w:rsidP="004E04AD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680BC6">
              <w:rPr>
                <w:rFonts w:ascii="Arial" w:hAnsi="Arial"/>
                <w:b/>
                <w:color w:val="2F5496" w:themeColor="accent1" w:themeShade="BF"/>
                <w:lang w:val="es-ES"/>
              </w:rPr>
              <w:t>Pregunta apelada:</w:t>
            </w: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 xml:space="preserve"> Componentes de la sentencia for.</w:t>
            </w:r>
          </w:p>
        </w:tc>
      </w:tr>
      <w:tr w:rsidR="005D2AD0" w:rsidRPr="00680BC6" w14:paraId="10CB9828" w14:textId="77777777" w:rsidTr="004E04AD">
        <w:trPr>
          <w:trHeight w:val="11628"/>
        </w:trPr>
        <w:tc>
          <w:tcPr>
            <w:tcW w:w="8907" w:type="dxa"/>
            <w:tcMar>
              <w:top w:w="113" w:type="dxa"/>
              <w:bottom w:w="113" w:type="dxa"/>
            </w:tcMar>
          </w:tcPr>
          <w:p w14:paraId="399167F6" w14:textId="77777777" w:rsidR="005D2AD0" w:rsidRDefault="005D2AD0" w:rsidP="004E04AD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680BC6">
              <w:rPr>
                <w:rFonts w:ascii="Arial" w:hAnsi="Arial"/>
                <w:b/>
                <w:color w:val="2F5496" w:themeColor="accent1" w:themeShade="BF"/>
                <w:lang w:val="es-ES"/>
              </w:rPr>
              <w:t>Argumentos y evidencia para justificar la apelación:</w:t>
            </w:r>
          </w:p>
          <w:p w14:paraId="417AA8D3" w14:textId="77777777" w:rsidR="005D2AD0" w:rsidRDefault="005D2AD0" w:rsidP="004E04AD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</w:p>
          <w:p w14:paraId="0D7B3019" w14:textId="586138E7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>RESPUESTA ACEPTADA: inicialización, terminación, incremento, bloque de sentencias.</w:t>
            </w:r>
          </w:p>
          <w:p w14:paraId="49F0E4E1" w14:textId="77777777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</w:p>
          <w:p w14:paraId="3989759D" w14:textId="77777777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 xml:space="preserve">ARGUMENTO: </w:t>
            </w:r>
          </w:p>
          <w:p w14:paraId="6971D4C2" w14:textId="15DFCD82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 xml:space="preserve">Entendemos que la respuesta: b. "inicialización, condición, incremento, bloque de sentencias" también es correcta de acuerdo </w:t>
            </w:r>
            <w:r>
              <w:rPr>
                <w:rFonts w:ascii="Arial" w:hAnsi="Arial"/>
                <w:b/>
                <w:color w:val="2F5496" w:themeColor="accent1" w:themeShade="BF"/>
                <w:lang w:val="es-ES"/>
              </w:rPr>
              <w:t>con e</w:t>
            </w: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>l material de estudio.</w:t>
            </w:r>
          </w:p>
          <w:p w14:paraId="4EFC16AE" w14:textId="77777777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</w:p>
          <w:p w14:paraId="37FEE2E2" w14:textId="77777777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>EVIDENCIA:</w:t>
            </w:r>
          </w:p>
          <w:p w14:paraId="4852D17E" w14:textId="2469D756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>En el texto "Aprende Java Como si estuviera en Primero", página 31, el capítulo 2.3.4.2 Bucle For nos define la forma general de la siguiente manera:</w:t>
            </w:r>
          </w:p>
          <w:p w14:paraId="2C3B9D00" w14:textId="77777777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</w:p>
          <w:p w14:paraId="0602D4C2" w14:textId="77777777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>for (initialization; booleanExpression; increment) {</w:t>
            </w:r>
          </w:p>
          <w:p w14:paraId="35A8BC17" w14:textId="77777777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 xml:space="preserve">   statements;</w:t>
            </w:r>
          </w:p>
          <w:p w14:paraId="25449F3D" w14:textId="77777777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>}</w:t>
            </w:r>
          </w:p>
          <w:p w14:paraId="549DBBAE" w14:textId="77777777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</w:p>
          <w:p w14:paraId="5AB04232" w14:textId="77777777" w:rsid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>
              <w:rPr>
                <w:rFonts w:ascii="Arial" w:hAnsi="Arial"/>
                <w:b/>
                <w:color w:val="2F5496" w:themeColor="accent1" w:themeShade="BF"/>
                <w:lang w:val="es-ES"/>
              </w:rPr>
              <w:t>E</w:t>
            </w: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>ntendemos por booleanExpression una sentencia condicional que por ella misma no representa una condición de termino</w:t>
            </w:r>
            <w:r>
              <w:rPr>
                <w:rFonts w:ascii="Arial" w:hAnsi="Arial"/>
                <w:b/>
                <w:color w:val="2F5496" w:themeColor="accent1" w:themeShade="BF"/>
                <w:lang w:val="es-ES"/>
              </w:rPr>
              <w:t xml:space="preserve"> como se hace referencia en la respuesta aceptada.</w:t>
            </w:r>
          </w:p>
          <w:p w14:paraId="4235D7DB" w14:textId="71B8D42A" w:rsidR="005D2AD0" w:rsidRP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 xml:space="preserve"> </w:t>
            </w:r>
          </w:p>
          <w:p w14:paraId="0D4D979F" w14:textId="77777777" w:rsid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 xml:space="preserve">Por ejemplo, es booleanExpression la siguiente sentencia: i == 3; </w:t>
            </w:r>
          </w:p>
          <w:p w14:paraId="0F5C553F" w14:textId="77777777" w:rsid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 w:rsidRPr="005D2AD0">
              <w:rPr>
                <w:rFonts w:ascii="Arial" w:hAnsi="Arial"/>
                <w:b/>
                <w:color w:val="2F5496" w:themeColor="accent1" w:themeShade="BF"/>
                <w:lang w:val="es-ES"/>
              </w:rPr>
              <w:t>Por si misma no indica la condición de termino de ejecución, es una condición de evaluación.</w:t>
            </w:r>
          </w:p>
          <w:p w14:paraId="61E2C544" w14:textId="77777777" w:rsid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</w:p>
          <w:p w14:paraId="0EC9FA92" w14:textId="77777777" w:rsidR="005D2AD0" w:rsidRDefault="005D2AD0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>
              <w:rPr>
                <w:rFonts w:ascii="Arial" w:hAnsi="Arial"/>
                <w:b/>
                <w:color w:val="2F5496" w:themeColor="accent1" w:themeShade="BF"/>
                <w:lang w:val="es-ES"/>
              </w:rPr>
              <w:t>Solicitamos por estos motivos que la respuesta b, seleccionada por el equipo originalmente, se considere correcta.</w:t>
            </w:r>
          </w:p>
          <w:p w14:paraId="58768BA2" w14:textId="77777777" w:rsidR="007C4F6E" w:rsidRDefault="007C4F6E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</w:p>
          <w:p w14:paraId="2776BA08" w14:textId="2D33D162" w:rsidR="007C4F6E" w:rsidRPr="00680BC6" w:rsidRDefault="007C4F6E" w:rsidP="005D2AD0">
            <w:pPr>
              <w:rPr>
                <w:rFonts w:ascii="Arial" w:hAnsi="Arial"/>
                <w:b/>
                <w:color w:val="2F5496" w:themeColor="accent1" w:themeShade="BF"/>
                <w:lang w:val="es-ES"/>
              </w:rPr>
            </w:pPr>
            <w:r>
              <w:rPr>
                <w:rFonts w:ascii="Arial" w:hAnsi="Arial"/>
                <w:b/>
                <w:noProof/>
                <w:color w:val="2F5496" w:themeColor="accent1" w:themeShade="BF"/>
                <w:lang w:val="es-ES"/>
              </w:rPr>
              <w:drawing>
                <wp:inline distT="0" distB="0" distL="0" distR="0" wp14:anchorId="04EC0351" wp14:editId="0177079F">
                  <wp:extent cx="3599079" cy="2023899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4756" cy="20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4150A" w14:textId="77777777" w:rsidR="00611B74" w:rsidRDefault="00611B74"/>
    <w:sectPr w:rsidR="00611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D0"/>
    <w:rsid w:val="005D2AD0"/>
    <w:rsid w:val="00611B74"/>
    <w:rsid w:val="007C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1A77"/>
  <w15:chartTrackingRefBased/>
  <w15:docId w15:val="{94B9565B-F9AE-4287-91AA-333C93BF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D0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D2AD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STABILE</dc:creator>
  <cp:keywords/>
  <dc:description/>
  <cp:lastModifiedBy>MARCELO STABILE</cp:lastModifiedBy>
  <cp:revision>2</cp:revision>
  <dcterms:created xsi:type="dcterms:W3CDTF">2021-03-22T23:19:00Z</dcterms:created>
  <dcterms:modified xsi:type="dcterms:W3CDTF">2021-03-22T23:32:00Z</dcterms:modified>
</cp:coreProperties>
</file>