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9032" w14:textId="77777777" w:rsidR="002C7F3B" w:rsidRPr="002C7F3B" w:rsidRDefault="002C7F3B" w:rsidP="002C7F3B">
      <w:pPr>
        <w:rPr>
          <w:b/>
          <w:bCs/>
        </w:rPr>
      </w:pPr>
      <w:r w:rsidRPr="002C7F3B">
        <w:rPr>
          <w:b/>
          <w:bCs/>
        </w:rPr>
        <w:t>Desempenho de dados de carga de trabalho de IA/ML</w:t>
      </w:r>
    </w:p>
    <w:p w14:paraId="1F9BA025" w14:textId="77777777" w:rsidR="002C7F3B" w:rsidRPr="002C7F3B" w:rsidRDefault="002C7F3B" w:rsidP="002C7F3B">
      <w:r w:rsidRPr="002C7F3B">
        <w:t>Cargas de trabalho de IA/ML exigem hardware de computação de alto desempenho (HPC), o que representa um investimento significativo. Para maximizar a lucratividade, é crucial que esse hardware seja utilizado continuamente em plena capacidade. No entanto, o congestionamento da rede pode fazer com que os nós de HPC fiquem ociosos e subutilizados, levando a ineficiências de custo. Obter insights detalhados sobre o desempenho da rede é fundamental para detectar e lidar preventivamente com o congestionamento. Ao otimizar parâmetros de configuração, como limites de buffer, e empregar mecanismos como Controle de Fluxo Prioritário (PFC) e Notificação Explícita de Congestionamento (ECN), esses problemas podem ser mitigados. Neste treinamento, você aprenderá a usar o Cisco Nexus Dashboard Insights (NDI) e seu recurso de Análise de Tráfego para monitorar o congestionamento da rede com eficácia.</w:t>
      </w:r>
    </w:p>
    <w:p w14:paraId="305B7758" w14:textId="77777777" w:rsidR="002C7F3B" w:rsidRPr="002C7F3B" w:rsidRDefault="002C7F3B" w:rsidP="002C7F3B">
      <w:r w:rsidRPr="002C7F3B">
        <w:t>Ao final deste treinamento, você será capaz de:</w:t>
      </w:r>
    </w:p>
    <w:p w14:paraId="3FFE44E2" w14:textId="77777777" w:rsidR="002C7F3B" w:rsidRPr="002C7F3B" w:rsidRDefault="002C7F3B" w:rsidP="002C7F3B">
      <w:pPr>
        <w:numPr>
          <w:ilvl w:val="0"/>
          <w:numId w:val="1"/>
        </w:numPr>
      </w:pPr>
      <w:r w:rsidRPr="002C7F3B">
        <w:t>Adicione uma estrutura ao Cisco Nexus Dashboard Insights (NDI).</w:t>
      </w:r>
    </w:p>
    <w:p w14:paraId="18A56ABF" w14:textId="77777777" w:rsidR="002C7F3B" w:rsidRPr="002C7F3B" w:rsidRDefault="002C7F3B" w:rsidP="002C7F3B">
      <w:pPr>
        <w:numPr>
          <w:ilvl w:val="0"/>
          <w:numId w:val="1"/>
        </w:numPr>
      </w:pPr>
      <w:r w:rsidRPr="002C7F3B">
        <w:t>Habilite o recurso Análise de Tráfego.</w:t>
      </w:r>
    </w:p>
    <w:p w14:paraId="1CFCD04B" w14:textId="77777777" w:rsidR="002C7F3B" w:rsidRPr="002C7F3B" w:rsidRDefault="002C7F3B" w:rsidP="002C7F3B">
      <w:pPr>
        <w:numPr>
          <w:ilvl w:val="0"/>
          <w:numId w:val="1"/>
        </w:numPr>
      </w:pPr>
      <w:r w:rsidRPr="002C7F3B">
        <w:t>Interpretar relatórios de anomalias relacionados ao congestionamento da rede.</w:t>
      </w:r>
    </w:p>
    <w:p w14:paraId="29CF9BD9" w14:textId="77777777" w:rsidR="002C7F3B" w:rsidRPr="002C7F3B" w:rsidRDefault="002C7F3B" w:rsidP="002C7F3B">
      <w:pPr>
        <w:numPr>
          <w:ilvl w:val="0"/>
          <w:numId w:val="1"/>
        </w:numPr>
      </w:pPr>
      <w:r w:rsidRPr="002C7F3B">
        <w:t>Analise métricas de congestionamento de rede ao longo do tempo no NDI.</w:t>
      </w:r>
    </w:p>
    <w:p w14:paraId="66BB67A4" w14:textId="77777777" w:rsidR="00E7057F" w:rsidRDefault="00E7057F"/>
    <w:p w14:paraId="5C193A55" w14:textId="77777777" w:rsidR="004C1593" w:rsidRDefault="004C1593"/>
    <w:p w14:paraId="76C57C17" w14:textId="77777777" w:rsidR="004C1593" w:rsidRDefault="004C1593"/>
    <w:p w14:paraId="6EDF10F1" w14:textId="77777777" w:rsidR="004C1593" w:rsidRDefault="004C1593"/>
    <w:p w14:paraId="721D789D" w14:textId="77777777" w:rsidR="004C1593" w:rsidRDefault="004C1593"/>
    <w:p w14:paraId="44B04976" w14:textId="77777777" w:rsidR="004C1593" w:rsidRDefault="004C1593"/>
    <w:p w14:paraId="084AAF9A" w14:textId="77777777" w:rsidR="004C1593" w:rsidRDefault="004C1593"/>
    <w:p w14:paraId="7F206005" w14:textId="77777777" w:rsidR="004C1593" w:rsidRDefault="004C1593"/>
    <w:p w14:paraId="52981D63" w14:textId="77777777" w:rsidR="004C1593" w:rsidRDefault="004C1593"/>
    <w:p w14:paraId="5C6A8D38" w14:textId="77777777" w:rsidR="004C1593" w:rsidRDefault="004C1593"/>
    <w:p w14:paraId="079B6269" w14:textId="77777777" w:rsidR="004C1593" w:rsidRDefault="004C1593"/>
    <w:p w14:paraId="7CD3D8D8" w14:textId="77777777" w:rsidR="004C1593" w:rsidRDefault="004C1593"/>
    <w:p w14:paraId="43D5FF19" w14:textId="69A6432C" w:rsidR="004C1593" w:rsidRDefault="00840B59">
      <w:r w:rsidRPr="00840B59">
        <w:lastRenderedPageBreak/>
        <w:drawing>
          <wp:inline distT="0" distB="0" distL="0" distR="0" wp14:anchorId="2A6BD723" wp14:editId="577676EE">
            <wp:extent cx="5400040" cy="3036570"/>
            <wp:effectExtent l="0" t="0" r="0" b="0"/>
            <wp:docPr id="1439115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5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46A" w14:textId="77777777" w:rsidR="00840B59" w:rsidRPr="00840B59" w:rsidRDefault="00840B59" w:rsidP="00840B59">
      <w:r w:rsidRPr="00840B59">
        <w:t>Desempenho de dados de carga de trabalho de IA/ML</w:t>
      </w:r>
    </w:p>
    <w:p w14:paraId="7B82FA21" w14:textId="77777777" w:rsidR="00840B59" w:rsidRPr="00840B59" w:rsidRDefault="00840B59" w:rsidP="00840B59">
      <w:r w:rsidRPr="00840B59">
        <w:t xml:space="preserve">Você é engenheiro de rede sênior em uma empresa especializada no desenvolvimento de assistentes de IA. Entre suas responsabilidades está garantir que as redes que conectam os servidores GPU funcionem com eficiência e estejam livres de congestionamento. Recentemente, você implantou uma rede de topologia </w:t>
      </w:r>
      <w:proofErr w:type="spellStart"/>
      <w:r w:rsidRPr="00840B59">
        <w:t>spine-leaf</w:t>
      </w:r>
      <w:proofErr w:type="spellEnd"/>
      <w:r w:rsidRPr="00840B59">
        <w:t xml:space="preserve"> de pequena escala, composta por dois switches </w:t>
      </w:r>
      <w:proofErr w:type="spellStart"/>
      <w:r w:rsidRPr="00840B59">
        <w:t>leaf</w:t>
      </w:r>
      <w:proofErr w:type="spellEnd"/>
      <w:r w:rsidRPr="00840B59">
        <w:t xml:space="preserve"> e um switch </w:t>
      </w:r>
      <w:proofErr w:type="spellStart"/>
      <w:r w:rsidRPr="00840B59">
        <w:t>spine</w:t>
      </w:r>
      <w:proofErr w:type="spellEnd"/>
      <w:r w:rsidRPr="00840B59">
        <w:t xml:space="preserve">, usando switches Cisco Nexus 9300. Você configurou uma malha BGP com uma rede sobreposta EVPN por meio do Cisco Nexus Dashboard </w:t>
      </w:r>
      <w:proofErr w:type="spellStart"/>
      <w:r w:rsidRPr="00840B59">
        <w:t>Fabric</w:t>
      </w:r>
      <w:proofErr w:type="spellEnd"/>
      <w:r w:rsidRPr="00840B59">
        <w:t xml:space="preserve"> </w:t>
      </w:r>
      <w:proofErr w:type="spellStart"/>
      <w:r w:rsidRPr="00840B59">
        <w:t>Controller</w:t>
      </w:r>
      <w:proofErr w:type="spellEnd"/>
      <w:r w:rsidRPr="00840B59">
        <w:t xml:space="preserve"> (NDFC). Você utilizou seus modelos integrados para implementar Qualidade de Serviço (</w:t>
      </w:r>
      <w:proofErr w:type="spellStart"/>
      <w:r w:rsidRPr="00840B59">
        <w:t>QoS</w:t>
      </w:r>
      <w:proofErr w:type="spellEnd"/>
      <w:r w:rsidRPr="00840B59">
        <w:t xml:space="preserve">), Controle de Fluxo Prioritário (PFC) e Notificação Explícita de Congestionamento (ECN) com Detecção Antecipada Aleatória Ponderada (WRED), com o objetivo de criar uma rede sem perdas pronta para RoCEv2. Ao configurar o PFC e o ECN, você optou pelos valores de limite de buffer padrão, mas agora se preocupa se essas configurações serão suficientes para as cargas de trabalho de IA. Você projetou a rede com uma arquitetura não bloqueante, conectando os switches </w:t>
      </w:r>
      <w:proofErr w:type="spellStart"/>
      <w:r w:rsidRPr="00840B59">
        <w:t>leaf</w:t>
      </w:r>
      <w:proofErr w:type="spellEnd"/>
      <w:r w:rsidRPr="00840B59">
        <w:t xml:space="preserve"> à espinha com </w:t>
      </w:r>
      <w:proofErr w:type="spellStart"/>
      <w:r w:rsidRPr="00840B59">
        <w:t>uplinks</w:t>
      </w:r>
      <w:proofErr w:type="spellEnd"/>
      <w:r w:rsidRPr="00840B59">
        <w:t xml:space="preserve"> de 40G, com portas de acesso de 1G em mente. Embora a equipe de IA planeje inicialmente implantar apenas três servidores GPU, existe a possibilidade de expansão para até 40 servidores. O projeto da sua rede considera essa expansão, garantindo um desempenho sem bloqueios em toda a rede. A etapa final da implantação é testar se as configurações padrão lidam adequadamente com o congestionamento dos três servidores iniciais.</w:t>
      </w:r>
    </w:p>
    <w:p w14:paraId="6AC2C9F5" w14:textId="77777777" w:rsidR="00840B59" w:rsidRPr="00840B59" w:rsidRDefault="00840B59" w:rsidP="00840B59">
      <w:r w:rsidRPr="00840B59">
        <w:t xml:space="preserve">O Cisco Nexus Dashboard Insights (NDI) é uma ferramenta ideal para monitorar sua rede, graças ao seu recurso de Análise de Tráfego. Este recurso é capaz de detectar congestionamentos e emitir alertas. Ele também fornece métricas </w:t>
      </w:r>
      <w:r w:rsidRPr="00840B59">
        <w:lastRenderedPageBreak/>
        <w:t xml:space="preserve">detalhadas relacionadas ao congestionamento, incluindo </w:t>
      </w:r>
      <w:proofErr w:type="spellStart"/>
      <w:r w:rsidRPr="00840B59">
        <w:t>tail-drops</w:t>
      </w:r>
      <w:proofErr w:type="spellEnd"/>
      <w:r w:rsidRPr="00840B59">
        <w:t>, fluxos de pacotes de Controle de Fluxo Prioritário (PFC) e Notificação Explícita de Congestionamento (ECN), além de taxas de utilização da interface. Você reconhece o valor de continuar usando o NDI mesmo quando a equipe de IA expande sua rede de servidores. Este recurso permite monitorar o congestionamento e ajustar as configurações de PFC e ECN para evitar futuros problemas de congestionamento.</w:t>
      </w:r>
    </w:p>
    <w:p w14:paraId="67017031" w14:textId="77777777" w:rsidR="00FB3AC7" w:rsidRPr="00FB3AC7" w:rsidRDefault="00FB3AC7" w:rsidP="00FB3AC7">
      <w:pPr>
        <w:rPr>
          <w:b/>
          <w:bCs/>
        </w:rPr>
      </w:pPr>
      <w:r w:rsidRPr="00FB3AC7">
        <w:rPr>
          <w:b/>
          <w:bCs/>
        </w:rPr>
        <w:t>Observação</w:t>
      </w:r>
    </w:p>
    <w:p w14:paraId="3D39E310" w14:textId="77777777" w:rsidR="00FB3AC7" w:rsidRDefault="00FB3AC7" w:rsidP="00FB3AC7">
      <w:pPr>
        <w:rPr>
          <w:i/>
          <w:iCs/>
        </w:rPr>
      </w:pPr>
      <w:r w:rsidRPr="00FB3AC7">
        <w:rPr>
          <w:i/>
          <w:iCs/>
        </w:rPr>
        <w:t>Esta é uma simulação de laboratório e não reflete inteiramente o comportamento de dispositivos reais. Preste atenção às notas sobre as diferenças entre a simulação de laboratório e os dispositivos reais ao longo deste exercício.</w:t>
      </w:r>
    </w:p>
    <w:p w14:paraId="36CB8F5E" w14:textId="77777777" w:rsidR="0044612D" w:rsidRDefault="0044612D" w:rsidP="00FB3AC7">
      <w:pPr>
        <w:rPr>
          <w:i/>
          <w:iCs/>
        </w:rPr>
      </w:pPr>
    </w:p>
    <w:p w14:paraId="0A5ACBE5" w14:textId="77777777" w:rsidR="0044612D" w:rsidRPr="0044612D" w:rsidRDefault="0044612D" w:rsidP="0044612D">
      <w:pPr>
        <w:rPr>
          <w:i/>
          <w:iCs/>
        </w:rPr>
      </w:pPr>
      <w:r w:rsidRPr="0044612D">
        <w:rPr>
          <w:i/>
          <w:iCs/>
        </w:rPr>
        <w:t>Adicionar um site ao Cisco Nexus Dashboard Insights e habilitar a análise de tráfego</w:t>
      </w:r>
    </w:p>
    <w:p w14:paraId="584CD8F2" w14:textId="77777777" w:rsidR="0044612D" w:rsidRPr="0044612D" w:rsidRDefault="0044612D" w:rsidP="0044612D">
      <w:pPr>
        <w:rPr>
          <w:i/>
          <w:iCs/>
        </w:rPr>
      </w:pPr>
      <w:r w:rsidRPr="0044612D">
        <w:rPr>
          <w:i/>
          <w:iCs/>
        </w:rPr>
        <w:t>Você já possui um cluster Cisco Nexus Dashboard Insights (NDI) implantado com conectividade com o Cisco NDFC, gerenciando a rede de IA habilitada. Agora, você precisa incluir essa rede de IA como um site no Cisco NDI e habilitar o recurso de Análise de Tráfego para o site, para poder começar a monitorá-lo.</w:t>
      </w:r>
    </w:p>
    <w:p w14:paraId="6F5DDDCD" w14:textId="77777777" w:rsidR="0044612D" w:rsidRPr="00FB3AC7" w:rsidRDefault="0044612D" w:rsidP="00FB3AC7">
      <w:pPr>
        <w:rPr>
          <w:i/>
          <w:iCs/>
        </w:rPr>
      </w:pPr>
    </w:p>
    <w:p w14:paraId="5C599FA8" w14:textId="77777777" w:rsidR="00840B59" w:rsidRDefault="00840B59"/>
    <w:sectPr w:rsidR="00840B59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B9766" w14:textId="77777777" w:rsidR="0012015E" w:rsidRDefault="0012015E" w:rsidP="0012015E">
      <w:pPr>
        <w:spacing w:after="0" w:line="240" w:lineRule="auto"/>
      </w:pPr>
      <w:r>
        <w:separator/>
      </w:r>
    </w:p>
  </w:endnote>
  <w:endnote w:type="continuationSeparator" w:id="0">
    <w:p w14:paraId="77E189B7" w14:textId="77777777" w:rsidR="0012015E" w:rsidRDefault="0012015E" w:rsidP="0012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16CD1" w14:textId="5F1E5231" w:rsidR="0012015E" w:rsidRDefault="0012015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44066E" wp14:editId="22FFB0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18990520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15FE5C" w14:textId="77777777" w:rsidR="0012015E" w:rsidRPr="0012015E" w:rsidRDefault="0012015E" w:rsidP="001201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01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4326301" w14:textId="17CBF181" w:rsidR="0012015E" w:rsidRPr="0012015E" w:rsidRDefault="0012015E" w:rsidP="001201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01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4066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textbox style="mso-fit-shape-to-text:t" inset="20pt,0,0,15pt">
                <w:txbxContent>
                  <w:p w14:paraId="6515FE5C" w14:textId="77777777" w:rsidR="0012015E" w:rsidRPr="0012015E" w:rsidRDefault="0012015E" w:rsidP="001201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015E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4326301" w14:textId="17CBF181" w:rsidR="0012015E" w:rsidRPr="0012015E" w:rsidRDefault="0012015E" w:rsidP="001201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015E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BDE08" w14:textId="229B0D87" w:rsidR="0012015E" w:rsidRDefault="0012015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62B60E" wp14:editId="2089FC57">
              <wp:simplePos x="107977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292461757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B6AFD" w14:textId="77777777" w:rsidR="0012015E" w:rsidRPr="0012015E" w:rsidRDefault="0012015E" w:rsidP="001201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01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E6E3089" w14:textId="70641232" w:rsidR="0012015E" w:rsidRPr="0012015E" w:rsidRDefault="0012015E" w:rsidP="001201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01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2B60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textbox style="mso-fit-shape-to-text:t" inset="20pt,0,0,15pt">
                <w:txbxContent>
                  <w:p w14:paraId="079B6AFD" w14:textId="77777777" w:rsidR="0012015E" w:rsidRPr="0012015E" w:rsidRDefault="0012015E" w:rsidP="001201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015E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E6E3089" w14:textId="70641232" w:rsidR="0012015E" w:rsidRPr="0012015E" w:rsidRDefault="0012015E" w:rsidP="001201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015E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041F2" w14:textId="297C46E0" w:rsidR="0012015E" w:rsidRDefault="0012015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7C36A" wp14:editId="003782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154036999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86327" w14:textId="77777777" w:rsidR="0012015E" w:rsidRPr="0012015E" w:rsidRDefault="0012015E" w:rsidP="001201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01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30D46AB" w14:textId="6A4081AB" w:rsidR="0012015E" w:rsidRPr="0012015E" w:rsidRDefault="0012015E" w:rsidP="001201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01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7C36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textbox style="mso-fit-shape-to-text:t" inset="20pt,0,0,15pt">
                <w:txbxContent>
                  <w:p w14:paraId="0C386327" w14:textId="77777777" w:rsidR="0012015E" w:rsidRPr="0012015E" w:rsidRDefault="0012015E" w:rsidP="001201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015E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30D46AB" w14:textId="6A4081AB" w:rsidR="0012015E" w:rsidRPr="0012015E" w:rsidRDefault="0012015E" w:rsidP="001201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015E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7D4E" w14:textId="77777777" w:rsidR="0012015E" w:rsidRDefault="0012015E" w:rsidP="0012015E">
      <w:pPr>
        <w:spacing w:after="0" w:line="240" w:lineRule="auto"/>
      </w:pPr>
      <w:r>
        <w:separator/>
      </w:r>
    </w:p>
  </w:footnote>
  <w:footnote w:type="continuationSeparator" w:id="0">
    <w:p w14:paraId="06CDCB22" w14:textId="77777777" w:rsidR="0012015E" w:rsidRDefault="0012015E" w:rsidP="0012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26912"/>
    <w:multiLevelType w:val="multilevel"/>
    <w:tmpl w:val="622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90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B"/>
    <w:rsid w:val="00002175"/>
    <w:rsid w:val="0012015E"/>
    <w:rsid w:val="00234F29"/>
    <w:rsid w:val="002C7F3B"/>
    <w:rsid w:val="0044612D"/>
    <w:rsid w:val="004C1593"/>
    <w:rsid w:val="00840B59"/>
    <w:rsid w:val="00AC607D"/>
    <w:rsid w:val="00C7712F"/>
    <w:rsid w:val="00E7057F"/>
    <w:rsid w:val="00F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6C3B"/>
  <w15:chartTrackingRefBased/>
  <w15:docId w15:val="{866B692C-1E2F-43C4-85F8-613A217A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C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F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F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F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7F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7F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F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7F3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120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2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21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915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1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6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5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28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884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028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82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3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40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46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449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1860704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6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382">
          <w:marLeft w:val="0"/>
          <w:marRight w:val="0"/>
          <w:marTop w:val="0"/>
          <w:marBottom w:val="0"/>
          <w:divBdr>
            <w:top w:val="single" w:sz="2" w:space="0" w:color="E6E7E8"/>
            <w:left w:val="single" w:sz="2" w:space="0" w:color="E6E7E8"/>
            <w:bottom w:val="single" w:sz="6" w:space="0" w:color="E6E7E8"/>
            <w:right w:val="single" w:sz="2" w:space="0" w:color="E6E7E8"/>
          </w:divBdr>
        </w:div>
        <w:div w:id="74360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1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5</cp:revision>
  <dcterms:created xsi:type="dcterms:W3CDTF">2025-04-22T18:19:00Z</dcterms:created>
  <dcterms:modified xsi:type="dcterms:W3CDTF">2025-04-26T05:15:00Z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44c93507,6c6b97b8,4d0966bd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